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174625</wp:posOffset>
            </wp:positionV>
            <wp:extent cx="699516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226060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336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SCHEDULE 14A INFORMATION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Proxy Statement Pursuant to Section 14(a) of the</w:t>
      </w:r>
    </w:p>
    <w:p>
      <w:pPr>
        <w:jc w:val="center"/>
        <w:ind w:right="-984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Exchange Act of 1934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(Amendment No.)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box: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Preliminary Proxy Statement</w:t>
      </w:r>
    </w:p>
    <w:p>
      <w:pPr>
        <w:spacing w:after="0" w:line="27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Proxy Statement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Additional Materials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under Rule 14a-12</w:t>
      </w:r>
    </w:p>
    <w:p>
      <w:pPr>
        <w:spacing w:after="0" w:line="155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FLYWIRE CORPORATION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Payment of Filing Fee (Check the appropriate box):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 fee required.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paid previously with preliminary materials.</w:t>
      </w:r>
    </w:p>
    <w:p>
      <w:pPr>
        <w:spacing w:after="0" w:line="13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4129405</wp:posOffset>
            </wp:positionV>
            <wp:extent cx="699516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4189730</wp:posOffset>
            </wp:positionV>
            <wp:extent cx="6995160" cy="1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23"/>
          </w:cols>
          <w:pgMar w:left="436" w:top="385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4696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469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4696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469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2025-04-22T15:43:53Z</dcterms:created>
  <dcterms:modified xsi:type="dcterms:W3CDTF">2025-04-22T15:43:53Z</dcterms:modified>
</cp:coreProperties>
</file>