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SACHS GROUP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05/26/2022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437,248</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19.39</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2,731,973</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05/27/2022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467,944</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19.99</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1,907,010</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1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12"/>
          </w:tcPr>
          <w:p>
            <w:pPr>
              <w:jc w:val="center"/>
              <w:ind w:right="6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8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GOLDMAN SACHS GROUP INC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GOLDMAN SACHS &amp; CO.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Goldman Sachs PSI Global Holdings,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5588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58863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Stonebridge 2020 Offshore Holdings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Bridge Street Opportunity Advisors,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7" w:lineRule="exact"/>
        <w:rPr>
          <w:rFonts w:ascii="Times New Roman" w:cs="Times New Roman" w:eastAsia="Times New Roman" w:hAnsi="Times New Roman"/>
          <w:sz w:val="13"/>
          <w:szCs w:val="13"/>
          <w:color w:val="008000"/>
        </w:rPr>
      </w:pPr>
    </w:p>
    <w:p>
      <w:pPr>
        <w:ind w:left="20" w:right="3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9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865223" TargetMode="External"/><Relationship Id="rId17"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2022-05-31T19:12:19Z</dcterms:created>
  <dcterms:modified xsi:type="dcterms:W3CDTF">2022-05-31T19:12:19Z</dcterms:modified>
</cp:coreProperties>
</file>