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05192ds8.htm"/>
      <w:bookmarkStart w:id="1" w:name="ksd105192ds8"/>
      <w:bookmarkEnd w:id="0"/>
      <w:bookmarkEnd w:id="1"/>
      <w:r>
        <w:rPr>
          <w:rFonts w:ascii="Times New Roman" w:hAnsi="Times New Roman"/>
          <w:b/>
          <w:sz w:val="20"/>
        </w:rPr>
        <w:t xml:space="preserve">As filed with the Securities and Exchange Commission on February 24, 2026 </w:t>
      </w:r>
    </w:p>
    <w:p>
      <w:pPr>
        <w:pStyle w:val="TextBody"/>
        <w:bidi w:val="0"/>
        <w:spacing w:before="0" w:after="0"/>
        <w:jc w:val="right"/>
        <w:rPr>
          <w:rFonts w:ascii="Times New Roman" w:hAnsi="Times New Roman"/>
          <w:b/>
          <w:sz w:val="20"/>
        </w:rPr>
      </w:pPr>
      <w:r>
        <w:rPr>
          <w:rFonts w:ascii="Times New Roman" w:hAnsi="Times New Roman"/>
          <w:b/>
          <w:sz w:val="20"/>
        </w:rPr>
        <w:t>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FORM S-8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FLYWIRE CORPORATION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27-0690799</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18"/>
              </w:rPr>
            </w:pPr>
            <w:r>
              <w:rPr>
                <w:rFonts w:ascii="Times New Roman" w:hAnsi="Times New Roman"/>
                <w:b/>
                <w:sz w:val="18"/>
              </w:rPr>
              <w:t>141 Tremont St #10</w:t>
            </w:r>
          </w:p>
          <w:p>
            <w:pPr>
              <w:pStyle w:val="TableContents"/>
              <w:bidi w:val="0"/>
              <w:spacing w:before="0" w:after="20"/>
              <w:jc w:val="center"/>
              <w:rPr>
                <w:rFonts w:ascii="Times New Roman" w:hAnsi="Times New Roman"/>
                <w:b/>
                <w:sz w:val="18"/>
              </w:rPr>
            </w:pPr>
            <w:r>
              <w:rPr>
                <w:rFonts w:ascii="Times New Roman" w:hAnsi="Times New Roman"/>
                <w:b/>
                <w:sz w:val="18"/>
              </w:rPr>
              <w:t>Boston, MA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02111</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18"/>
        </w:rPr>
      </w:pPr>
      <w:r>
        <w:rPr>
          <w:rFonts w:ascii="Times New Roman" w:hAnsi="Times New Roman"/>
          <w:b/>
          <w:sz w:val="18"/>
        </w:rPr>
        <w:t xml:space="preserve">Flywire Corporation 2021 Equity Incentive Plan </w:t>
      </w:r>
    </w:p>
    <w:p>
      <w:pPr>
        <w:pStyle w:val="TextBody"/>
        <w:bidi w:val="0"/>
        <w:spacing w:before="0" w:after="0"/>
        <w:jc w:val="center"/>
        <w:rPr>
          <w:rFonts w:ascii="Times New Roman" w:hAnsi="Times New Roman"/>
          <w:b/>
          <w:sz w:val="18"/>
        </w:rPr>
      </w:pPr>
      <w:r>
        <w:rPr>
          <w:rFonts w:ascii="Times New Roman" w:hAnsi="Times New Roman"/>
          <w:b/>
          <w:sz w:val="18"/>
        </w:rPr>
        <w:t xml:space="preserve">Flywire Corporation 2021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Plan) </w:t>
      </w:r>
    </w:p>
    <w:p>
      <w:pPr>
        <w:pStyle w:val="TextBody"/>
        <w:bidi w:val="0"/>
        <w:spacing w:before="240" w:after="0"/>
        <w:jc w:val="center"/>
        <w:rPr>
          <w:rFonts w:ascii="Times New Roman" w:hAnsi="Times New Roman"/>
          <w:b/>
          <w:sz w:val="18"/>
        </w:rPr>
      </w:pPr>
      <w:r>
        <w:rPr>
          <w:rFonts w:ascii="Times New Roman" w:hAnsi="Times New Roman"/>
          <w:b/>
          <w:sz w:val="18"/>
        </w:rPr>
        <w:t xml:space="preserve">Michael Massaro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Flywire Corporation </w:t>
      </w:r>
    </w:p>
    <w:p>
      <w:pPr>
        <w:pStyle w:val="TextBody"/>
        <w:bidi w:val="0"/>
        <w:spacing w:before="0" w:after="0"/>
        <w:jc w:val="center"/>
        <w:rPr>
          <w:rFonts w:ascii="Times New Roman" w:hAnsi="Times New Roman"/>
          <w:b/>
          <w:sz w:val="18"/>
        </w:rPr>
      </w:pPr>
      <w:r>
        <w:rPr>
          <w:rFonts w:ascii="Times New Roman" w:hAnsi="Times New Roman"/>
          <w:b/>
          <w:sz w:val="18"/>
        </w:rPr>
        <w:t xml:space="preserve">141 Tremont St #10 </w:t>
      </w:r>
    </w:p>
    <w:p>
      <w:pPr>
        <w:pStyle w:val="TextBody"/>
        <w:bidi w:val="0"/>
        <w:spacing w:before="0" w:after="0"/>
        <w:jc w:val="center"/>
        <w:rPr>
          <w:rFonts w:ascii="Times New Roman" w:hAnsi="Times New Roman"/>
          <w:b/>
          <w:sz w:val="18"/>
        </w:rPr>
      </w:pPr>
      <w:r>
        <w:rPr>
          <w:rFonts w:ascii="Times New Roman" w:hAnsi="Times New Roman"/>
          <w:b/>
          <w:sz w:val="18"/>
        </w:rPr>
        <w:t xml:space="preserve">Boston, MA 02111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18"/>
        </w:rPr>
      </w:pPr>
      <w:r>
        <w:rPr>
          <w:rFonts w:ascii="Times New Roman" w:hAnsi="Times New Roman"/>
          <w:b/>
          <w:sz w:val="18"/>
        </w:rPr>
        <w:t xml:space="preserve">(617) 329-4524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18"/>
              </w:rPr>
            </w:pPr>
            <w:r>
              <w:rPr>
                <w:rFonts w:ascii="Times New Roman" w:hAnsi="Times New Roman"/>
                <w:b/>
                <w:sz w:val="18"/>
              </w:rPr>
              <w:t>David D. Gammell</w:t>
            </w:r>
          </w:p>
          <w:p>
            <w:pPr>
              <w:pStyle w:val="TableContents"/>
              <w:bidi w:val="0"/>
              <w:spacing w:before="0" w:after="0"/>
              <w:jc w:val="center"/>
              <w:rPr>
                <w:rFonts w:ascii="Times New Roman" w:hAnsi="Times New Roman"/>
                <w:b/>
                <w:sz w:val="18"/>
              </w:rPr>
            </w:pPr>
            <w:r>
              <w:rPr>
                <w:rFonts w:ascii="Times New Roman" w:hAnsi="Times New Roman"/>
                <w:b/>
                <w:sz w:val="18"/>
              </w:rPr>
              <w:t>Keith J. Scherer</w:t>
            </w:r>
          </w:p>
          <w:p>
            <w:pPr>
              <w:pStyle w:val="TableContents"/>
              <w:bidi w:val="0"/>
              <w:spacing w:before="0" w:after="0"/>
              <w:jc w:val="center"/>
              <w:rPr>
                <w:rFonts w:ascii="Times New Roman" w:hAnsi="Times New Roman"/>
                <w:b/>
                <w:sz w:val="18"/>
              </w:rPr>
            </w:pPr>
            <w:r>
              <w:rPr>
                <w:rFonts w:ascii="Times New Roman" w:hAnsi="Times New Roman"/>
                <w:b/>
                <w:sz w:val="18"/>
              </w:rPr>
              <w:t>John E. Maciejewski</w:t>
            </w:r>
          </w:p>
          <w:p>
            <w:pPr>
              <w:pStyle w:val="TableContents"/>
              <w:bidi w:val="0"/>
              <w:spacing w:before="0" w:after="0"/>
              <w:jc w:val="center"/>
              <w:rPr>
                <w:rFonts w:ascii="Times New Roman" w:hAnsi="Times New Roman"/>
                <w:b/>
                <w:sz w:val="18"/>
              </w:rPr>
            </w:pPr>
            <w:r>
              <w:rPr>
                <w:rFonts w:ascii="Times New Roman" w:hAnsi="Times New Roman"/>
                <w:b/>
                <w:sz w:val="18"/>
              </w:rPr>
              <w:t>Gunderson Dettmer Stough Villeneuve</w:t>
            </w:r>
          </w:p>
          <w:p>
            <w:pPr>
              <w:pStyle w:val="TableContents"/>
              <w:bidi w:val="0"/>
              <w:spacing w:before="0" w:after="0"/>
              <w:jc w:val="center"/>
              <w:rPr>
                <w:rFonts w:ascii="Times New Roman" w:hAnsi="Times New Roman"/>
                <w:b/>
                <w:sz w:val="18"/>
              </w:rPr>
            </w:pPr>
            <w:r>
              <w:rPr>
                <w:rFonts w:ascii="Times New Roman" w:hAnsi="Times New Roman"/>
                <w:b/>
                <w:sz w:val="18"/>
              </w:rPr>
              <w:t>Franklin &amp; Hachigian, LLP</w:t>
            </w:r>
          </w:p>
          <w:p>
            <w:pPr>
              <w:pStyle w:val="TableContents"/>
              <w:bidi w:val="0"/>
              <w:spacing w:before="0" w:after="0"/>
              <w:jc w:val="center"/>
              <w:rPr>
                <w:rFonts w:ascii="Times New Roman" w:hAnsi="Times New Roman"/>
                <w:b/>
                <w:sz w:val="18"/>
              </w:rPr>
            </w:pPr>
            <w:r>
              <w:rPr>
                <w:rFonts w:ascii="Times New Roman" w:hAnsi="Times New Roman"/>
                <w:b/>
                <w:sz w:val="18"/>
              </w:rPr>
              <w:t>One Marina Park Drive, Suite 900</w:t>
            </w:r>
          </w:p>
          <w:p>
            <w:pPr>
              <w:pStyle w:val="TableContents"/>
              <w:bidi w:val="0"/>
              <w:spacing w:before="0" w:after="0"/>
              <w:jc w:val="center"/>
              <w:rPr>
                <w:rFonts w:ascii="Times New Roman" w:hAnsi="Times New Roman"/>
                <w:b/>
                <w:sz w:val="18"/>
              </w:rPr>
            </w:pPr>
            <w:r>
              <w:rPr>
                <w:rFonts w:ascii="Times New Roman" w:hAnsi="Times New Roman"/>
                <w:b/>
                <w:sz w:val="18"/>
              </w:rPr>
              <w:t>Boston, MA 02210</w:t>
            </w:r>
          </w:p>
          <w:p>
            <w:pPr>
              <w:pStyle w:val="TableContents"/>
              <w:bidi w:val="0"/>
              <w:spacing w:before="0" w:after="20"/>
              <w:jc w:val="center"/>
              <w:rPr>
                <w:rFonts w:ascii="Times New Roman" w:hAnsi="Times New Roman"/>
                <w:b/>
                <w:sz w:val="18"/>
              </w:rPr>
            </w:pPr>
            <w:r>
              <w:rPr>
                <w:rFonts w:ascii="Times New Roman" w:hAnsi="Times New Roman"/>
                <w:b/>
                <w:sz w:val="18"/>
              </w:rPr>
              <w:t>(617) 648-9100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8"/>
              </w:rPr>
            </w:pPr>
            <w:r>
              <w:rPr>
                <w:rFonts w:ascii="Times New Roman" w:hAnsi="Times New Roman"/>
                <w:b/>
                <w:sz w:val="18"/>
              </w:rPr>
              <w:t>Peter Butterfield</w:t>
            </w:r>
          </w:p>
          <w:p>
            <w:pPr>
              <w:pStyle w:val="TableContents"/>
              <w:bidi w:val="0"/>
              <w:spacing w:before="0" w:after="0"/>
              <w:jc w:val="center"/>
              <w:rPr>
                <w:rFonts w:ascii="Times New Roman" w:hAnsi="Times New Roman"/>
                <w:b/>
                <w:sz w:val="18"/>
              </w:rPr>
            </w:pPr>
            <w:r>
              <w:rPr>
                <w:rFonts w:ascii="Times New Roman" w:hAnsi="Times New Roman"/>
                <w:b/>
                <w:sz w:val="18"/>
              </w:rPr>
              <w:t>General Counsel &amp; Chief</w:t>
              <w:br/>
              <w:t>Compliance Officer</w:t>
            </w:r>
          </w:p>
          <w:p>
            <w:pPr>
              <w:pStyle w:val="TableContents"/>
              <w:bidi w:val="0"/>
              <w:spacing w:before="0" w:after="0"/>
              <w:jc w:val="center"/>
              <w:rPr>
                <w:rFonts w:ascii="Times New Roman" w:hAnsi="Times New Roman"/>
                <w:b/>
                <w:sz w:val="18"/>
              </w:rPr>
            </w:pPr>
            <w:r>
              <w:rPr>
                <w:rFonts w:ascii="Times New Roman" w:hAnsi="Times New Roman"/>
                <w:b/>
                <w:sz w:val="18"/>
              </w:rPr>
              <w:t>Flywire Corporation</w:t>
            </w:r>
          </w:p>
          <w:p>
            <w:pPr>
              <w:pStyle w:val="TableContents"/>
              <w:bidi w:val="0"/>
              <w:spacing w:before="0" w:after="0"/>
              <w:jc w:val="center"/>
              <w:rPr>
                <w:rFonts w:ascii="Times New Roman" w:hAnsi="Times New Roman"/>
                <w:b/>
                <w:sz w:val="18"/>
              </w:rPr>
            </w:pPr>
            <w:r>
              <w:rPr>
                <w:rFonts w:ascii="Times New Roman" w:hAnsi="Times New Roman"/>
                <w:b/>
                <w:sz w:val="18"/>
              </w:rPr>
              <w:t>141 Tremont St #10</w:t>
            </w:r>
          </w:p>
          <w:p>
            <w:pPr>
              <w:pStyle w:val="TableContents"/>
              <w:bidi w:val="0"/>
              <w:spacing w:before="0" w:after="0"/>
              <w:jc w:val="center"/>
              <w:rPr>
                <w:rFonts w:ascii="Times New Roman" w:hAnsi="Times New Roman"/>
                <w:b/>
                <w:sz w:val="18"/>
              </w:rPr>
            </w:pPr>
            <w:r>
              <w:rPr>
                <w:rFonts w:ascii="Times New Roman" w:hAnsi="Times New Roman"/>
                <w:b/>
                <w:sz w:val="18"/>
              </w:rPr>
              <w:t>Boston, MA 02111</w:t>
            </w:r>
          </w:p>
          <w:p>
            <w:pPr>
              <w:pStyle w:val="TableContents"/>
              <w:bidi w:val="0"/>
              <w:spacing w:before="0" w:after="20"/>
              <w:jc w:val="center"/>
              <w:rPr>
                <w:rFonts w:ascii="Times New Roman" w:hAnsi="Times New Roman"/>
                <w:b/>
                <w:sz w:val="18"/>
              </w:rPr>
            </w:pPr>
            <w:r>
              <w:rPr>
                <w:rFonts w:ascii="Times New Roman" w:hAnsi="Times New Roman"/>
                <w:b/>
                <w:sz w:val="18"/>
              </w:rPr>
              <w:t>(617) 329-4524</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73"/>
        <w:gridCol w:w="105"/>
        <w:gridCol w:w="4816"/>
        <w:gridCol w:w="133"/>
        <w:gridCol w:w="2606"/>
        <w:gridCol w:w="105"/>
        <w:gridCol w:w="267"/>
      </w:tblGrid>
      <w:tr>
        <w:trPr/>
        <w:tc>
          <w:tcPr>
            <w:tcW w:w="217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4816"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73" w:type="dxa"/>
            <w:tcBorders/>
            <w:vAlign w:val="bottom"/>
          </w:tcPr>
          <w:p>
            <w:pPr>
              <w:pStyle w:val="TableContents"/>
              <w:bidi w:val="0"/>
              <w:spacing w:before="0" w:after="283"/>
              <w:jc w:val="left"/>
              <w:rPr>
                <w:sz w:val="20"/>
              </w:rPr>
            </w:pPr>
            <w:r>
              <w:rPr>
                <w:sz w:val="20"/>
              </w:rPr>
              <w:t>Large accelerated filer</w:t>
            </w:r>
          </w:p>
        </w:tc>
        <w:tc>
          <w:tcPr>
            <w:tcW w:w="105" w:type="dxa"/>
            <w:tcBorders/>
            <w:vAlign w:val="bottom"/>
          </w:tcPr>
          <w:p>
            <w:pPr>
              <w:pStyle w:val="TableContents"/>
              <w:bidi w:val="0"/>
              <w:spacing w:before="0" w:after="283"/>
              <w:jc w:val="left"/>
              <w:rPr/>
            </w:pPr>
            <w:r>
              <w:rPr/>
              <w:t> </w:t>
            </w:r>
          </w:p>
        </w:tc>
        <w:tc>
          <w:tcPr>
            <w:tcW w:w="4816"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06" w:type="dxa"/>
            <w:tcBorders/>
            <w:vAlign w:val="bottom"/>
          </w:tcPr>
          <w:p>
            <w:pPr>
              <w:pStyle w:val="TableContents"/>
              <w:bidi w:val="0"/>
              <w:spacing w:before="0" w:after="283"/>
              <w:jc w:val="left"/>
              <w:rPr/>
            </w:pPr>
            <w:r>
              <w:rPr/>
              <w:t>Accelerated filer</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73" w:type="dxa"/>
            <w:tcBorders/>
            <w:vAlign w:val="center"/>
          </w:tcPr>
          <w:p>
            <w:pPr>
              <w:pStyle w:val="TableContents"/>
              <w:bidi w:val="0"/>
              <w:spacing w:before="0" w:after="283"/>
              <w:jc w:val="left"/>
              <w:rPr>
                <w:sz w:val="4"/>
                <w:szCs w:val="4"/>
              </w:rPr>
            </w:pPr>
            <w:r>
              <w:rPr>
                <w:sz w:val="4"/>
                <w:szCs w:val="4"/>
              </w:rPr>
            </w:r>
          </w:p>
        </w:tc>
        <w:tc>
          <w:tcPr>
            <w:tcW w:w="4921" w:type="dxa"/>
            <w:gridSpan w:val="2"/>
            <w:tcBorders/>
            <w:vAlign w:val="center"/>
          </w:tcPr>
          <w:p>
            <w:pPr>
              <w:pStyle w:val="TableContents"/>
              <w:bidi w:val="0"/>
              <w:spacing w:before="0" w:after="283"/>
              <w:jc w:val="left"/>
              <w:rPr>
                <w:sz w:val="4"/>
                <w:szCs w:val="4"/>
              </w:rPr>
            </w:pPr>
            <w:r>
              <w:rPr>
                <w:sz w:val="4"/>
                <w:szCs w:val="4"/>
              </w:rPr>
            </w:r>
          </w:p>
        </w:tc>
        <w:tc>
          <w:tcPr>
            <w:tcW w:w="2739" w:type="dxa"/>
            <w:gridSpan w:val="2"/>
            <w:tcBorders/>
            <w:vAlign w:val="center"/>
          </w:tcPr>
          <w:p>
            <w:pPr>
              <w:pStyle w:val="TableContents"/>
              <w:bidi w:val="0"/>
              <w:spacing w:before="0" w:after="283"/>
              <w:jc w:val="left"/>
              <w:rPr>
                <w:sz w:val="4"/>
                <w:szCs w:val="4"/>
              </w:rPr>
            </w:pPr>
            <w:r>
              <w:rPr>
                <w:sz w:val="4"/>
                <w:szCs w:val="4"/>
              </w:rPr>
            </w:r>
          </w:p>
        </w:tc>
        <w:tc>
          <w:tcPr>
            <w:tcW w:w="372" w:type="dxa"/>
            <w:gridSpan w:val="2"/>
            <w:tcBorders/>
            <w:vAlign w:val="center"/>
          </w:tcPr>
          <w:p>
            <w:pPr>
              <w:pStyle w:val="TableContents"/>
              <w:bidi w:val="0"/>
              <w:spacing w:before="0" w:after="283"/>
              <w:jc w:val="left"/>
              <w:rPr>
                <w:sz w:val="4"/>
                <w:szCs w:val="4"/>
              </w:rPr>
            </w:pPr>
            <w:r>
              <w:rPr>
                <w:sz w:val="4"/>
                <w:szCs w:val="4"/>
              </w:rPr>
            </w:r>
          </w:p>
        </w:tc>
      </w:tr>
      <w:tr>
        <w:trPr/>
        <w:tc>
          <w:tcPr>
            <w:tcW w:w="2173" w:type="dxa"/>
            <w:tcBorders/>
            <w:vAlign w:val="bottom"/>
          </w:tcPr>
          <w:p>
            <w:pPr>
              <w:pStyle w:val="TableContents"/>
              <w:bidi w:val="0"/>
              <w:spacing w:before="0" w:after="283"/>
              <w:jc w:val="left"/>
              <w:rPr>
                <w:sz w:val="20"/>
              </w:rPr>
            </w:pPr>
            <w:r>
              <w:rPr>
                <w:sz w:val="20"/>
              </w:rPr>
              <w:t>Non-accelerated filer</w:t>
            </w:r>
          </w:p>
        </w:tc>
        <w:tc>
          <w:tcPr>
            <w:tcW w:w="105" w:type="dxa"/>
            <w:tcBorders/>
            <w:vAlign w:val="bottom"/>
          </w:tcPr>
          <w:p>
            <w:pPr>
              <w:pStyle w:val="TableContents"/>
              <w:bidi w:val="0"/>
              <w:spacing w:before="0" w:after="283"/>
              <w:jc w:val="left"/>
              <w:rPr/>
            </w:pPr>
            <w:r>
              <w:rPr/>
              <w:t> </w:t>
            </w:r>
          </w:p>
        </w:tc>
        <w:tc>
          <w:tcPr>
            <w:tcW w:w="4816"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06" w:type="dxa"/>
            <w:tcBorders/>
            <w:vAlign w:val="bottom"/>
          </w:tcPr>
          <w:p>
            <w:pPr>
              <w:pStyle w:val="TableContents"/>
              <w:bidi w:val="0"/>
              <w:spacing w:before="0" w:after="283"/>
              <w:jc w:val="left"/>
              <w:rPr/>
            </w:pPr>
            <w:r>
              <w:rPr/>
              <w:t>Smaller reporting company</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73" w:type="dxa"/>
            <w:tcBorders/>
            <w:vAlign w:val="center"/>
          </w:tcPr>
          <w:p>
            <w:pPr>
              <w:pStyle w:val="TableContents"/>
              <w:bidi w:val="0"/>
              <w:spacing w:before="0" w:after="283"/>
              <w:jc w:val="left"/>
              <w:rPr>
                <w:sz w:val="4"/>
                <w:szCs w:val="4"/>
              </w:rPr>
            </w:pPr>
            <w:r>
              <w:rPr>
                <w:sz w:val="4"/>
                <w:szCs w:val="4"/>
              </w:rPr>
            </w:r>
          </w:p>
        </w:tc>
        <w:tc>
          <w:tcPr>
            <w:tcW w:w="4921" w:type="dxa"/>
            <w:gridSpan w:val="2"/>
            <w:tcBorders/>
            <w:vAlign w:val="center"/>
          </w:tcPr>
          <w:p>
            <w:pPr>
              <w:pStyle w:val="TableContents"/>
              <w:bidi w:val="0"/>
              <w:spacing w:before="0" w:after="283"/>
              <w:jc w:val="left"/>
              <w:rPr>
                <w:sz w:val="4"/>
                <w:szCs w:val="4"/>
              </w:rPr>
            </w:pPr>
            <w:r>
              <w:rPr>
                <w:sz w:val="4"/>
                <w:szCs w:val="4"/>
              </w:rPr>
            </w:r>
          </w:p>
        </w:tc>
        <w:tc>
          <w:tcPr>
            <w:tcW w:w="2739" w:type="dxa"/>
            <w:gridSpan w:val="2"/>
            <w:tcBorders/>
            <w:vAlign w:val="center"/>
          </w:tcPr>
          <w:p>
            <w:pPr>
              <w:pStyle w:val="TableContents"/>
              <w:bidi w:val="0"/>
              <w:spacing w:before="0" w:after="283"/>
              <w:jc w:val="left"/>
              <w:rPr>
                <w:sz w:val="4"/>
                <w:szCs w:val="4"/>
              </w:rPr>
            </w:pPr>
            <w:r>
              <w:rPr>
                <w:sz w:val="4"/>
                <w:szCs w:val="4"/>
              </w:rPr>
            </w:r>
          </w:p>
        </w:tc>
        <w:tc>
          <w:tcPr>
            <w:tcW w:w="372" w:type="dxa"/>
            <w:gridSpan w:val="2"/>
            <w:tcBorders/>
            <w:vAlign w:val="center"/>
          </w:tcPr>
          <w:p>
            <w:pPr>
              <w:pStyle w:val="TableContents"/>
              <w:bidi w:val="0"/>
              <w:spacing w:before="0" w:after="283"/>
              <w:jc w:val="left"/>
              <w:rPr>
                <w:sz w:val="4"/>
                <w:szCs w:val="4"/>
              </w:rPr>
            </w:pPr>
            <w:r>
              <w:rPr>
                <w:sz w:val="4"/>
                <w:szCs w:val="4"/>
              </w:rPr>
            </w:r>
          </w:p>
        </w:tc>
      </w:tr>
      <w:tr>
        <w:trPr/>
        <w:tc>
          <w:tcPr>
            <w:tcW w:w="2173"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4816"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06" w:type="dxa"/>
            <w:tcBorders/>
            <w:vAlign w:val="bottom"/>
          </w:tcPr>
          <w:p>
            <w:pPr>
              <w:pStyle w:val="TableContents"/>
              <w:bidi w:val="0"/>
              <w:spacing w:before="0" w:after="283"/>
              <w:jc w:val="left"/>
              <w:rPr/>
            </w:pPr>
            <w:r>
              <w:rPr/>
              <w:t>Emerging growth company</w:t>
            </w:r>
          </w:p>
        </w:tc>
        <w:tc>
          <w:tcPr>
            <w:tcW w:w="105"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12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pPr>
      <w:r>
        <w:rPr>
          <w:rFonts w:ascii="Times New Roman" w:hAnsi="Times New Roman"/>
          <w:sz w:val="20"/>
        </w:rPr>
        <w:t xml:space="preserve">This Registration Statement on Form S-8 registers additional shares of voting common stock to be issued pursuant to the Registrant’s 2021 Equity Incentive Plan and 2021 Employee Stock Purchase Plan. The information contained in the Registrant’s registration statement on Form S-8 (SEC File Nos. </w:t>
      </w:r>
      <w:hyperlink r:id="rId2">
        <w:r>
          <w:rPr>
            <w:rStyle w:val="InternetLink"/>
            <w:rFonts w:ascii="Times New Roman" w:hAnsi="Times New Roman"/>
            <w:sz w:val="20"/>
          </w:rPr>
          <w:t>333-256695</w:t>
        </w:r>
      </w:hyperlink>
      <w:r>
        <w:rPr>
          <w:rFonts w:ascii="Times New Roman" w:hAnsi="Times New Roman"/>
          <w:sz w:val="20"/>
        </w:rPr>
        <w:t xml:space="preserve">, </w:t>
      </w:r>
      <w:hyperlink r:id="rId3">
        <w:r>
          <w:rPr>
            <w:rStyle w:val="InternetLink"/>
            <w:rFonts w:ascii="Times New Roman" w:hAnsi="Times New Roman"/>
            <w:sz w:val="20"/>
          </w:rPr>
          <w:t>333-263956</w:t>
        </w:r>
      </w:hyperlink>
      <w:r>
        <w:rPr>
          <w:rFonts w:ascii="Times New Roman" w:hAnsi="Times New Roman"/>
          <w:sz w:val="20"/>
        </w:rPr>
        <w:t xml:space="preserve">, </w:t>
      </w:r>
      <w:hyperlink r:id="rId4">
        <w:r>
          <w:rPr>
            <w:rStyle w:val="InternetLink"/>
            <w:rFonts w:ascii="Times New Roman" w:hAnsi="Times New Roman"/>
            <w:sz w:val="20"/>
          </w:rPr>
          <w:t>333-270587</w:t>
        </w:r>
      </w:hyperlink>
      <w:r>
        <w:rPr>
          <w:rFonts w:ascii="Times New Roman" w:hAnsi="Times New Roman"/>
          <w:sz w:val="20"/>
        </w:rPr>
        <w:t xml:space="preserve">, </w:t>
      </w:r>
      <w:hyperlink r:id="rId5">
        <w:r>
          <w:rPr>
            <w:rStyle w:val="InternetLink"/>
            <w:rFonts w:ascii="Times New Roman" w:hAnsi="Times New Roman"/>
            <w:sz w:val="20"/>
          </w:rPr>
          <w:t>333-277440</w:t>
        </w:r>
      </w:hyperlink>
      <w:r>
        <w:rPr>
          <w:rFonts w:ascii="Times New Roman" w:hAnsi="Times New Roman"/>
          <w:sz w:val="20"/>
        </w:rPr>
        <w:t xml:space="preserve"> and </w:t>
      </w:r>
      <w:hyperlink r:id="rId6">
        <w:r>
          <w:rPr>
            <w:rStyle w:val="InternetLink"/>
            <w:rFonts w:ascii="Times New Roman" w:hAnsi="Times New Roman"/>
            <w:sz w:val="20"/>
          </w:rPr>
          <w:t>333-285288</w:t>
        </w:r>
      </w:hyperlink>
      <w:r>
        <w:rPr>
          <w:rFonts w:ascii="Times New Roman" w:hAnsi="Times New Roman"/>
          <w:sz w:val="20"/>
        </w:rPr>
        <w:t xml:space="preserve">), together with all exhibits filed therewith or incorporated therein by reference, are hereby incorporated by reference pursuant to General Instruction E to Form S-8.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120" w:after="0"/>
        <w:jc w:val="left"/>
        <w:rPr>
          <w:rFonts w:ascii="Times New Roman" w:hAnsi="Times New Roman"/>
          <w:b/>
          <w:sz w:val="20"/>
        </w:rPr>
      </w:pPr>
      <w:r>
        <w:rPr>
          <w:rFonts w:ascii="Times New Roman" w:hAnsi="Times New Roman"/>
          <w:b/>
          <w:sz w:val="20"/>
        </w:rPr>
        <w:t xml:space="preserve">Item 8. </w:t>
      </w:r>
      <w:r>
        <w:rPr>
          <w:rFonts w:ascii="Times New Roman" w:hAnsi="Times New Roman"/>
          <w:b/>
          <w:sz w:val="20"/>
          <w:u w:val="single"/>
        </w:rPr>
        <w:t>Exhibits</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1"/>
        <w:gridCol w:w="404"/>
        <w:gridCol w:w="9110"/>
      </w:tblGrid>
      <w:tr>
        <w:trPr/>
        <w:tc>
          <w:tcPr>
            <w:tcW w:w="691"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9110" w:type="dxa"/>
            <w:tcBorders/>
            <w:vAlign w:val="center"/>
          </w:tcPr>
          <w:p>
            <w:pPr>
              <w:pStyle w:val="TableContents"/>
              <w:bidi w:val="0"/>
              <w:spacing w:before="0" w:after="283"/>
              <w:jc w:val="left"/>
              <w:rPr>
                <w:sz w:val="4"/>
                <w:szCs w:val="4"/>
              </w:rPr>
            </w:pPr>
            <w:r>
              <w:rPr>
                <w:sz w:val="4"/>
                <w:szCs w:val="4"/>
              </w:rPr>
            </w:r>
          </w:p>
        </w:tc>
      </w:tr>
      <w:tr>
        <w:trPr/>
        <w:tc>
          <w:tcPr>
            <w:tcW w:w="6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404" w:type="dxa"/>
            <w:tcBorders/>
            <w:vAlign w:val="bottom"/>
          </w:tcPr>
          <w:p>
            <w:pPr>
              <w:pStyle w:val="TableContents"/>
              <w:bidi w:val="0"/>
              <w:spacing w:before="0" w:after="283"/>
              <w:jc w:val="left"/>
              <w:rPr/>
            </w:pPr>
            <w:r>
              <w:rPr/>
              <w:t>  </w:t>
            </w:r>
          </w:p>
        </w:tc>
        <w:tc>
          <w:tcPr>
            <w:tcW w:w="91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r>
      <w:tr>
        <w:trPr>
          <w:trHeight w:val="120" w:hRule="atLeast"/>
        </w:trPr>
        <w:tc>
          <w:tcPr>
            <w:tcW w:w="691" w:type="dxa"/>
            <w:tcBorders/>
            <w:vAlign w:val="center"/>
          </w:tcPr>
          <w:p>
            <w:pPr>
              <w:pStyle w:val="TableContents"/>
              <w:bidi w:val="0"/>
              <w:spacing w:before="0" w:after="283"/>
              <w:jc w:val="left"/>
              <w:rPr>
                <w:sz w:val="4"/>
                <w:szCs w:val="4"/>
              </w:rPr>
            </w:pPr>
            <w:r>
              <w:rPr>
                <w:sz w:val="4"/>
                <w:szCs w:val="4"/>
              </w:rPr>
            </w:r>
          </w:p>
        </w:tc>
        <w:tc>
          <w:tcPr>
            <w:tcW w:w="9514"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tcPr>
          <w:p>
            <w:pPr>
              <w:pStyle w:val="TableContents"/>
              <w:bidi w:val="0"/>
              <w:spacing w:before="0" w:after="283"/>
              <w:jc w:val="left"/>
              <w:rPr/>
            </w:pPr>
            <w:r>
              <w:rPr/>
              <w:t>  </w:t>
            </w:r>
            <w:r>
              <w:rPr/>
              <w:t>5.1*</w:t>
            </w:r>
          </w:p>
        </w:tc>
        <w:tc>
          <w:tcPr>
            <w:tcW w:w="404"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hyperlink w:anchor="d105192dex51.htm">
              <w:r>
                <w:rPr>
                  <w:rStyle w:val="InternetLink"/>
                </w:rPr>
                <w:t xml:space="preserve">Opinion of Gunderson Dettmer Stough Villeneuve Franklin &amp; Hachigian, LLP. </w:t>
              </w:r>
            </w:hyperlink>
          </w:p>
        </w:tc>
      </w:tr>
      <w:tr>
        <w:trPr>
          <w:trHeight w:val="120" w:hRule="atLeast"/>
        </w:trPr>
        <w:tc>
          <w:tcPr>
            <w:tcW w:w="691" w:type="dxa"/>
            <w:tcBorders/>
            <w:vAlign w:val="center"/>
          </w:tcPr>
          <w:p>
            <w:pPr>
              <w:pStyle w:val="TableContents"/>
              <w:bidi w:val="0"/>
              <w:spacing w:before="0" w:after="283"/>
              <w:jc w:val="left"/>
              <w:rPr>
                <w:sz w:val="4"/>
                <w:szCs w:val="4"/>
              </w:rPr>
            </w:pPr>
            <w:r>
              <w:rPr>
                <w:sz w:val="4"/>
                <w:szCs w:val="4"/>
              </w:rPr>
            </w:r>
          </w:p>
        </w:tc>
        <w:tc>
          <w:tcPr>
            <w:tcW w:w="9514"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tcPr>
          <w:p>
            <w:pPr>
              <w:pStyle w:val="TableContents"/>
              <w:bidi w:val="0"/>
              <w:spacing w:before="0" w:after="283"/>
              <w:jc w:val="left"/>
              <w:rPr/>
            </w:pPr>
            <w:r>
              <w:rPr/>
              <w:t> </w:t>
            </w:r>
            <w:r>
              <w:rPr/>
              <w:t>23.1*</w:t>
            </w:r>
          </w:p>
        </w:tc>
        <w:tc>
          <w:tcPr>
            <w:tcW w:w="404"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hyperlink w:anchor="d105192dex231.htm">
              <w:r>
                <w:rPr>
                  <w:rStyle w:val="InternetLink"/>
                </w:rPr>
                <w:t xml:space="preserve">Consent of PricewaterhouseCoopers LLP, independent registered public accounting firm. </w:t>
              </w:r>
            </w:hyperlink>
          </w:p>
        </w:tc>
      </w:tr>
      <w:tr>
        <w:trPr>
          <w:trHeight w:val="120" w:hRule="atLeast"/>
        </w:trPr>
        <w:tc>
          <w:tcPr>
            <w:tcW w:w="691" w:type="dxa"/>
            <w:tcBorders/>
            <w:vAlign w:val="center"/>
          </w:tcPr>
          <w:p>
            <w:pPr>
              <w:pStyle w:val="TableContents"/>
              <w:bidi w:val="0"/>
              <w:spacing w:before="0" w:after="283"/>
              <w:jc w:val="left"/>
              <w:rPr>
                <w:sz w:val="4"/>
                <w:szCs w:val="4"/>
              </w:rPr>
            </w:pPr>
            <w:r>
              <w:rPr>
                <w:sz w:val="4"/>
                <w:szCs w:val="4"/>
              </w:rPr>
            </w:r>
          </w:p>
        </w:tc>
        <w:tc>
          <w:tcPr>
            <w:tcW w:w="9514"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tcPr>
          <w:p>
            <w:pPr>
              <w:pStyle w:val="TableContents"/>
              <w:bidi w:val="0"/>
              <w:spacing w:before="0" w:after="283"/>
              <w:jc w:val="left"/>
              <w:rPr/>
            </w:pPr>
            <w:r>
              <w:rPr/>
              <w:t> </w:t>
            </w:r>
            <w:r>
              <w:rPr/>
              <w:t>23.2*</w:t>
            </w:r>
          </w:p>
        </w:tc>
        <w:tc>
          <w:tcPr>
            <w:tcW w:w="404"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hyperlink w:anchor="d105192dex51.htm">
              <w:r>
                <w:rPr>
                  <w:rStyle w:val="InternetLink"/>
                </w:rPr>
                <w:t xml:space="preserve">Consent of Gunderson Dettmer Stough Villeneuve Franklin &amp; Hachigian, LLP (included in Exhibit 5.1). </w:t>
              </w:r>
            </w:hyperlink>
          </w:p>
        </w:tc>
      </w:tr>
      <w:tr>
        <w:trPr>
          <w:trHeight w:val="120" w:hRule="atLeast"/>
        </w:trPr>
        <w:tc>
          <w:tcPr>
            <w:tcW w:w="691" w:type="dxa"/>
            <w:tcBorders/>
            <w:vAlign w:val="center"/>
          </w:tcPr>
          <w:p>
            <w:pPr>
              <w:pStyle w:val="TableContents"/>
              <w:bidi w:val="0"/>
              <w:spacing w:before="0" w:after="283"/>
              <w:jc w:val="left"/>
              <w:rPr>
                <w:sz w:val="4"/>
                <w:szCs w:val="4"/>
              </w:rPr>
            </w:pPr>
            <w:r>
              <w:rPr>
                <w:sz w:val="4"/>
                <w:szCs w:val="4"/>
              </w:rPr>
            </w:r>
          </w:p>
        </w:tc>
        <w:tc>
          <w:tcPr>
            <w:tcW w:w="9514"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tcPr>
          <w:p>
            <w:pPr>
              <w:pStyle w:val="TableContents"/>
              <w:bidi w:val="0"/>
              <w:spacing w:before="0" w:after="283"/>
              <w:jc w:val="left"/>
              <w:rPr/>
            </w:pPr>
            <w:r>
              <w:rPr/>
              <w:t> </w:t>
            </w:r>
            <w:r>
              <w:rPr/>
              <w:t>24.1*</w:t>
            </w:r>
          </w:p>
        </w:tc>
        <w:tc>
          <w:tcPr>
            <w:tcW w:w="404"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hyperlink w:anchor="tx105192_sig">
              <w:r>
                <w:rPr>
                  <w:rStyle w:val="InternetLink"/>
                </w:rPr>
                <w:t xml:space="preserve">Power of Attorney (included in the signature page to the registration statement). </w:t>
              </w:r>
            </w:hyperlink>
          </w:p>
        </w:tc>
      </w:tr>
      <w:tr>
        <w:trPr>
          <w:trHeight w:val="120" w:hRule="atLeast"/>
        </w:trPr>
        <w:tc>
          <w:tcPr>
            <w:tcW w:w="691" w:type="dxa"/>
            <w:tcBorders/>
            <w:vAlign w:val="center"/>
          </w:tcPr>
          <w:p>
            <w:pPr>
              <w:pStyle w:val="TableContents"/>
              <w:bidi w:val="0"/>
              <w:spacing w:before="0" w:after="283"/>
              <w:jc w:val="left"/>
              <w:rPr>
                <w:sz w:val="4"/>
                <w:szCs w:val="4"/>
              </w:rPr>
            </w:pPr>
            <w:r>
              <w:rPr>
                <w:sz w:val="4"/>
                <w:szCs w:val="4"/>
              </w:rPr>
            </w:r>
          </w:p>
        </w:tc>
        <w:tc>
          <w:tcPr>
            <w:tcW w:w="9514" w:type="dxa"/>
            <w:gridSpan w:val="2"/>
            <w:tcBorders/>
            <w:vAlign w:val="center"/>
          </w:tcPr>
          <w:p>
            <w:pPr>
              <w:pStyle w:val="TableContents"/>
              <w:bidi w:val="0"/>
              <w:spacing w:before="0" w:after="283"/>
              <w:jc w:val="left"/>
              <w:rPr>
                <w:sz w:val="4"/>
                <w:szCs w:val="4"/>
              </w:rPr>
            </w:pPr>
            <w:r>
              <w:rPr>
                <w:sz w:val="4"/>
                <w:szCs w:val="4"/>
              </w:rPr>
            </w:r>
          </w:p>
        </w:tc>
      </w:tr>
      <w:tr>
        <w:trPr/>
        <w:tc>
          <w:tcPr>
            <w:tcW w:w="691" w:type="dxa"/>
            <w:tcBorders/>
          </w:tcPr>
          <w:p>
            <w:pPr>
              <w:pStyle w:val="TableContents"/>
              <w:bidi w:val="0"/>
              <w:spacing w:before="0" w:after="283"/>
              <w:jc w:val="left"/>
              <w:rPr/>
            </w:pPr>
            <w:r>
              <w:rPr/>
              <w:t>107*</w:t>
            </w:r>
          </w:p>
        </w:tc>
        <w:tc>
          <w:tcPr>
            <w:tcW w:w="404" w:type="dxa"/>
            <w:tcBorders/>
            <w:vAlign w:val="bottom"/>
          </w:tcPr>
          <w:p>
            <w:pPr>
              <w:pStyle w:val="TableContents"/>
              <w:bidi w:val="0"/>
              <w:spacing w:before="0" w:after="283"/>
              <w:jc w:val="left"/>
              <w:rPr/>
            </w:pPr>
            <w:r>
              <w:rPr/>
              <w:t>  </w:t>
            </w:r>
          </w:p>
        </w:tc>
        <w:tc>
          <w:tcPr>
            <w:tcW w:w="9110" w:type="dxa"/>
            <w:tcBorders/>
          </w:tcPr>
          <w:p>
            <w:pPr>
              <w:pStyle w:val="TableContents"/>
              <w:bidi w:val="0"/>
              <w:spacing w:before="0" w:after="283"/>
              <w:jc w:val="left"/>
              <w:rPr/>
            </w:pPr>
            <w:hyperlink w:anchor="d105192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x105192_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this 24th day of February,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FLYWIRE CORPORATION</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Michael Massaro</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Michael Massaro</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Michael Massaro and Cosmin Pitigoi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each of the undersigned has executed this Power of Attorney as of the date indicated.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on behalf the Registrant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7"/>
        <w:gridCol w:w="121"/>
        <w:gridCol w:w="4300"/>
        <w:gridCol w:w="106"/>
        <w:gridCol w:w="1921"/>
      </w:tblGrid>
      <w:tr>
        <w:trPr/>
        <w:tc>
          <w:tcPr>
            <w:tcW w:w="375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0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3757" w:type="dxa"/>
            <w:tcBorders/>
            <w:vAlign w:val="bottom"/>
          </w:tcPr>
          <w:p>
            <w:pPr>
              <w:pStyle w:val="TableContents"/>
              <w:bidi w:val="0"/>
              <w:spacing w:before="0" w:after="283"/>
              <w:jc w:val="left"/>
              <w:rPr>
                <w:b/>
              </w:rPr>
            </w:pPr>
            <w:r>
              <w:rPr>
                <w:b/>
              </w:rPr>
              <w:t>Signature</w:t>
            </w:r>
          </w:p>
        </w:tc>
        <w:tc>
          <w:tcPr>
            <w:tcW w:w="121" w:type="dxa"/>
            <w:tcBorders/>
            <w:vAlign w:val="bottom"/>
          </w:tcPr>
          <w:p>
            <w:pPr>
              <w:pStyle w:val="TableContents"/>
              <w:bidi w:val="0"/>
              <w:spacing w:before="0" w:after="283"/>
              <w:jc w:val="left"/>
              <w:rPr/>
            </w:pPr>
            <w:r>
              <w:rPr/>
              <w:t>  </w:t>
            </w:r>
          </w:p>
        </w:tc>
        <w:tc>
          <w:tcPr>
            <w:tcW w:w="4300" w:type="dxa"/>
            <w:tcBorders/>
            <w:vAlign w:val="bottom"/>
          </w:tcPr>
          <w:p>
            <w:pPr>
              <w:pStyle w:val="TableContents"/>
              <w:bidi w:val="0"/>
              <w:spacing w:before="0" w:after="283"/>
              <w:jc w:val="center"/>
              <w:rPr>
                <w:b/>
              </w:rPr>
            </w:pPr>
            <w:r>
              <w:rPr>
                <w:b/>
              </w:rPr>
              <w:t>Title</w:t>
            </w:r>
          </w:p>
        </w:tc>
        <w:tc>
          <w:tcPr>
            <w:tcW w:w="106" w:type="dxa"/>
            <w:tcBorders/>
            <w:vAlign w:val="bottom"/>
          </w:tcPr>
          <w:p>
            <w:pPr>
              <w:pStyle w:val="TableContents"/>
              <w:bidi w:val="0"/>
              <w:spacing w:before="0" w:after="283"/>
              <w:jc w:val="left"/>
              <w:rPr/>
            </w:pPr>
            <w:r>
              <w:rPr/>
              <w:t> </w:t>
            </w:r>
          </w:p>
        </w:tc>
        <w:tc>
          <w:tcPr>
            <w:tcW w:w="1921" w:type="dxa"/>
            <w:tcBorders/>
            <w:vAlign w:val="bottom"/>
          </w:tcPr>
          <w:p>
            <w:pPr>
              <w:pStyle w:val="TableContents"/>
              <w:bidi w:val="0"/>
              <w:spacing w:before="0" w:after="283"/>
              <w:jc w:val="center"/>
              <w:rPr>
                <w:b/>
              </w:rPr>
            </w:pPr>
            <w:r>
              <w:rPr>
                <w:b/>
              </w:rPr>
              <w:t>Date</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Michael Massaro</w:t>
            </w:r>
          </w:p>
          <w:p>
            <w:pPr>
              <w:pStyle w:val="TableContents"/>
              <w:bidi w:val="0"/>
              <w:spacing w:before="0" w:after="20"/>
              <w:jc w:val="left"/>
              <w:rPr>
                <w:rFonts w:ascii="Times New Roman" w:hAnsi="Times New Roman"/>
                <w:sz w:val="20"/>
              </w:rPr>
            </w:pPr>
            <w:r>
              <w:rPr>
                <w:rFonts w:ascii="Times New Roman" w:hAnsi="Times New Roman"/>
                <w:sz w:val="20"/>
              </w:rPr>
              <w:t>Michael Massaro</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i/>
                <w:sz w:val="20"/>
              </w:rPr>
            </w:pPr>
            <w:r>
              <w:rPr>
                <w:rFonts w:ascii="Times New Roman" w:hAnsi="Times New Roman"/>
                <w:i/>
                <w:sz w:val="20"/>
              </w:rPr>
              <w:t>(Principal Executive Officer)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24, 2026</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Cosmin Pitigoi</w:t>
            </w:r>
          </w:p>
          <w:p>
            <w:pPr>
              <w:pStyle w:val="TableContents"/>
              <w:bidi w:val="0"/>
              <w:spacing w:before="0" w:after="20"/>
              <w:jc w:val="left"/>
              <w:rPr>
                <w:rFonts w:ascii="Times New Roman" w:hAnsi="Times New Roman"/>
                <w:sz w:val="20"/>
              </w:rPr>
            </w:pPr>
            <w:r>
              <w:rPr>
                <w:rFonts w:ascii="Times New Roman" w:hAnsi="Times New Roman"/>
                <w:sz w:val="20"/>
              </w:rPr>
              <w:t>Cosmin Pitigoi</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i/>
                <w:sz w:val="20"/>
              </w:rPr>
            </w:pPr>
            <w:r>
              <w:rPr>
                <w:rFonts w:ascii="Times New Roman" w:hAnsi="Times New Roman"/>
                <w:i/>
                <w:sz w:val="20"/>
              </w:rPr>
              <w:t>(Principal Financial Officer and Principal Accounting Officer)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24, 2026</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Phillip Riese</w:t>
            </w:r>
          </w:p>
          <w:p>
            <w:pPr>
              <w:pStyle w:val="TableContents"/>
              <w:bidi w:val="0"/>
              <w:spacing w:before="0" w:after="20"/>
              <w:jc w:val="left"/>
              <w:rPr>
                <w:rFonts w:ascii="Times New Roman" w:hAnsi="Times New Roman"/>
                <w:sz w:val="20"/>
              </w:rPr>
            </w:pPr>
            <w:r>
              <w:rPr>
                <w:rFonts w:ascii="Times New Roman" w:hAnsi="Times New Roman"/>
                <w:sz w:val="20"/>
              </w:rPr>
              <w:t>Phillip Riese</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283"/>
              <w:jc w:val="center"/>
              <w:rPr/>
            </w:pPr>
            <w:r>
              <w:rPr/>
              <w:t>Chairman of the Board of Directors</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24, 2026</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Alex Finkelstein</w:t>
            </w:r>
          </w:p>
          <w:p>
            <w:pPr>
              <w:pStyle w:val="TableContents"/>
              <w:bidi w:val="0"/>
              <w:spacing w:before="0" w:after="20"/>
              <w:jc w:val="left"/>
              <w:rPr>
                <w:rFonts w:ascii="Times New Roman" w:hAnsi="Times New Roman"/>
                <w:sz w:val="20"/>
              </w:rPr>
            </w:pPr>
            <w:r>
              <w:rPr>
                <w:rFonts w:ascii="Times New Roman" w:hAnsi="Times New Roman"/>
                <w:sz w:val="20"/>
              </w:rPr>
              <w:t>Alex Finkelstein</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24, 2026</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Matt Harris</w:t>
            </w:r>
          </w:p>
          <w:p>
            <w:pPr>
              <w:pStyle w:val="TableContents"/>
              <w:bidi w:val="0"/>
              <w:spacing w:before="0" w:after="20"/>
              <w:jc w:val="left"/>
              <w:rPr>
                <w:rFonts w:ascii="Times New Roman" w:hAnsi="Times New Roman"/>
                <w:sz w:val="20"/>
              </w:rPr>
            </w:pPr>
            <w:r>
              <w:rPr>
                <w:rFonts w:ascii="Times New Roman" w:hAnsi="Times New Roman"/>
                <w:sz w:val="20"/>
              </w:rPr>
              <w:t>Matt Harris</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24, 2026</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Gretchen Howard</w:t>
            </w:r>
          </w:p>
          <w:p>
            <w:pPr>
              <w:pStyle w:val="TableContents"/>
              <w:bidi w:val="0"/>
              <w:spacing w:before="0" w:after="20"/>
              <w:jc w:val="left"/>
              <w:rPr>
                <w:rFonts w:ascii="Times New Roman" w:hAnsi="Times New Roman"/>
                <w:sz w:val="20"/>
              </w:rPr>
            </w:pPr>
            <w:r>
              <w:rPr>
                <w:rFonts w:ascii="Times New Roman" w:hAnsi="Times New Roman"/>
                <w:sz w:val="20"/>
              </w:rPr>
              <w:t>Gretchen Howard</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24, 2026</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Carleigh Jaques</w:t>
            </w:r>
          </w:p>
          <w:p>
            <w:pPr>
              <w:pStyle w:val="TableContents"/>
              <w:bidi w:val="0"/>
              <w:spacing w:before="0" w:after="20"/>
              <w:jc w:val="left"/>
              <w:rPr>
                <w:rFonts w:ascii="Times New Roman" w:hAnsi="Times New Roman"/>
                <w:sz w:val="20"/>
              </w:rPr>
            </w:pPr>
            <w:r>
              <w:rPr>
                <w:rFonts w:ascii="Times New Roman" w:hAnsi="Times New Roman"/>
                <w:sz w:val="20"/>
              </w:rPr>
              <w:t>Carleigh Jaques</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24, 2026</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Diane Offereins</w:t>
            </w:r>
          </w:p>
          <w:p>
            <w:pPr>
              <w:pStyle w:val="TableContents"/>
              <w:bidi w:val="0"/>
              <w:spacing w:before="0" w:after="20"/>
              <w:jc w:val="left"/>
              <w:rPr>
                <w:rFonts w:ascii="Times New Roman" w:hAnsi="Times New Roman"/>
                <w:sz w:val="20"/>
              </w:rPr>
            </w:pPr>
            <w:r>
              <w:rPr>
                <w:rFonts w:ascii="Times New Roman" w:hAnsi="Times New Roman"/>
                <w:sz w:val="20"/>
              </w:rPr>
              <w:t>Diane Offereins</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24, 2026</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21" w:type="dxa"/>
            <w:gridSpan w:val="2"/>
            <w:tcBorders/>
            <w:vAlign w:val="center"/>
          </w:tcPr>
          <w:p>
            <w:pPr>
              <w:pStyle w:val="TableContents"/>
              <w:bidi w:val="0"/>
              <w:spacing w:before="0" w:after="283"/>
              <w:jc w:val="left"/>
              <w:rPr>
                <w:sz w:val="4"/>
                <w:szCs w:val="4"/>
              </w:rPr>
            </w:pPr>
            <w:r>
              <w:rPr>
                <w:sz w:val="4"/>
                <w:szCs w:val="4"/>
              </w:rPr>
            </w:r>
          </w:p>
        </w:tc>
        <w:tc>
          <w:tcPr>
            <w:tcW w:w="2027"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Edwin Santos</w:t>
            </w:r>
          </w:p>
          <w:p>
            <w:pPr>
              <w:pStyle w:val="TableContents"/>
              <w:bidi w:val="0"/>
              <w:spacing w:before="0" w:after="20"/>
              <w:jc w:val="left"/>
              <w:rPr>
                <w:rFonts w:ascii="Times New Roman" w:hAnsi="Times New Roman"/>
                <w:sz w:val="20"/>
              </w:rPr>
            </w:pPr>
            <w:r>
              <w:rPr>
                <w:rFonts w:ascii="Times New Roman" w:hAnsi="Times New Roman"/>
                <w:sz w:val="20"/>
              </w:rPr>
              <w:t>Edwin Santos</w:t>
            </w:r>
          </w:p>
        </w:tc>
        <w:tc>
          <w:tcPr>
            <w:tcW w:w="121" w:type="dxa"/>
            <w:tcBorders/>
            <w:vAlign w:val="bottom"/>
          </w:tcPr>
          <w:p>
            <w:pPr>
              <w:pStyle w:val="TableContents"/>
              <w:bidi w:val="0"/>
              <w:spacing w:before="0" w:after="283"/>
              <w:jc w:val="left"/>
              <w:rPr/>
            </w:pPr>
            <w:r>
              <w:rPr/>
              <w:t>  </w:t>
            </w:r>
          </w:p>
        </w:tc>
        <w:tc>
          <w:tcPr>
            <w:tcW w:w="4300"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921" w:type="dxa"/>
            <w:tcBorders/>
          </w:tcPr>
          <w:p>
            <w:pPr>
              <w:pStyle w:val="TableContents"/>
              <w:bidi w:val="0"/>
              <w:spacing w:before="0" w:after="283"/>
              <w:jc w:val="center"/>
              <w:rPr/>
            </w:pPr>
            <w:r>
              <w:rPr/>
              <w:t>February 24, 2026</w:t>
            </w:r>
          </w:p>
        </w:tc>
      </w:tr>
    </w:tbl>
    <w:p>
      <w:pPr>
        <w:pStyle w:val="TextBody"/>
        <w:bidi w:val="0"/>
        <w:spacing w:before="0" w:after="0"/>
        <w:jc w:val="right"/>
        <w:rPr>
          <w:rFonts w:ascii="Times New Roman" w:hAnsi="Times New Roman"/>
          <w:b/>
          <w:sz w:val="20"/>
        </w:rPr>
      </w:pPr>
      <w:bookmarkStart w:id="3" w:name="d105192dex51.htm"/>
      <w:bookmarkStart w:id="4" w:name="ksd105192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5"/>
        <w:gridCol w:w="120"/>
        <w:gridCol w:w="4890"/>
      </w:tblGrid>
      <w:tr>
        <w:trPr/>
        <w:tc>
          <w:tcPr>
            <w:tcW w:w="51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0" w:type="dxa"/>
            <w:tcBorders/>
            <w:vAlign w:val="center"/>
          </w:tcPr>
          <w:p>
            <w:pPr>
              <w:pStyle w:val="TableContents"/>
              <w:bidi w:val="0"/>
              <w:spacing w:before="0" w:after="283"/>
              <w:jc w:val="left"/>
              <w:rPr>
                <w:sz w:val="4"/>
                <w:szCs w:val="4"/>
              </w:rPr>
            </w:pPr>
            <w:r>
              <w:rPr>
                <w:sz w:val="4"/>
                <w:szCs w:val="4"/>
              </w:rPr>
            </w:r>
          </w:p>
        </w:tc>
      </w:tr>
      <w:tr>
        <w:trPr/>
        <w:tc>
          <w:tcPr>
            <w:tcW w:w="5195" w:type="dxa"/>
            <w:tcBorders/>
          </w:tcPr>
          <w:p>
            <w:pPr>
              <w:pStyle w:val="TableContents"/>
              <w:bidi w:val="0"/>
              <w:spacing w:before="0" w:after="283"/>
              <w:jc w:val="left"/>
              <w:rPr/>
            </w:pPr>
            <w:r>
              <w:rPr/>
              <w:drawing>
                <wp:inline distT="0" distB="0" distL="0" distR="0">
                  <wp:extent cx="220980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2209800" cy="5619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90" w:type="dxa"/>
            <w:tcBorders/>
          </w:tcPr>
          <w:p>
            <w:pPr>
              <w:pStyle w:val="TableContents"/>
              <w:bidi w:val="0"/>
              <w:spacing w:before="0" w:after="283"/>
              <w:jc w:val="right"/>
              <w:rPr/>
            </w:pPr>
            <w:r>
              <w:rPr/>
              <w:drawing>
                <wp:inline distT="0" distB="0" distL="0" distR="0">
                  <wp:extent cx="2076450" cy="962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2076450" cy="962025"/>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February 24, 2026 </w:t>
      </w:r>
    </w:p>
    <w:p>
      <w:pPr>
        <w:pStyle w:val="TextBody"/>
        <w:bidi w:val="0"/>
        <w:spacing w:before="240" w:after="0"/>
        <w:jc w:val="left"/>
        <w:rPr>
          <w:rFonts w:ascii="Times New Roman" w:hAnsi="Times New Roman"/>
          <w:sz w:val="20"/>
        </w:rPr>
      </w:pPr>
      <w:r>
        <w:rPr>
          <w:rFonts w:ascii="Times New Roman" w:hAnsi="Times New Roman"/>
          <w:sz w:val="20"/>
        </w:rPr>
        <w:t xml:space="preserve">Flywire Corporation </w:t>
      </w:r>
    </w:p>
    <w:p>
      <w:pPr>
        <w:pStyle w:val="TextBody"/>
        <w:bidi w:val="0"/>
        <w:spacing w:before="0" w:after="0"/>
        <w:jc w:val="left"/>
        <w:rPr>
          <w:rFonts w:ascii="Times New Roman" w:hAnsi="Times New Roman"/>
          <w:sz w:val="20"/>
        </w:rPr>
      </w:pPr>
      <w:r>
        <w:rPr>
          <w:rFonts w:ascii="Times New Roman" w:hAnsi="Times New Roman"/>
          <w:sz w:val="20"/>
        </w:rPr>
        <w:t xml:space="preserve">141 Tremont St #10 </w:t>
      </w:r>
    </w:p>
    <w:p>
      <w:pPr>
        <w:pStyle w:val="TextBody"/>
        <w:bidi w:val="0"/>
        <w:spacing w:before="0" w:after="0"/>
        <w:jc w:val="left"/>
        <w:rPr>
          <w:rFonts w:ascii="Times New Roman" w:hAnsi="Times New Roman"/>
          <w:sz w:val="20"/>
        </w:rPr>
      </w:pPr>
      <w:r>
        <w:rPr>
          <w:rFonts w:ascii="Times New Roman" w:hAnsi="Times New Roman"/>
          <w:sz w:val="20"/>
        </w:rPr>
        <w:t xml:space="preserve">Boston, MA 02111 </w:t>
      </w:r>
    </w:p>
    <w:p>
      <w:pPr>
        <w:pStyle w:val="TextBody"/>
        <w:bidi w:val="0"/>
        <w:spacing w:before="120" w:after="0"/>
        <w:jc w:val="left"/>
        <w:rPr>
          <w:rFonts w:ascii="Times New Roman" w:hAnsi="Times New Roman"/>
          <w:sz w:val="20"/>
        </w:rPr>
      </w:pPr>
      <w:r>
        <w:rPr>
          <w:rFonts w:ascii="Times New Roman" w:hAnsi="Times New Roman"/>
          <w:sz w:val="20"/>
        </w:rPr>
        <w:t xml:space="preserve">Re: Flywire Corporation Registration Statement on Form S-8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refer to the registration statement on Form S-8 (the “Registration Statement”) to be filed by Flywire Corporation, a Delaware corporation (the “Company”), with the Securities and Exchange Commission (the “Commission”) in connection with the registration under the Securities Act of 1933, as amended (the “Act”), of an aggregate of 7,317,565 shares of the Company’s voting common stock, $0.0001 par value per share (the “Shares”), that are issuable by the Company (i) upon the exercise or settlement of awards granted or to be granted under the Company’s 2021 Equity Incentive Plan and (ii) upon the exercise of purchase rights to acquire shares of voting common stock pursuant to the Company’s 2021 Employee Stock Purchase Plan. The Company’s 2021 Equity Incentive Plan and 2021 Employee Stock Purchase Plan are collectively referred to in this letter as the “Plans.” </w:t>
      </w:r>
    </w:p>
    <w:p>
      <w:pPr>
        <w:pStyle w:val="TextBody"/>
        <w:bidi w:val="0"/>
        <w:spacing w:before="240" w:after="0"/>
        <w:jc w:val="left"/>
        <w:rPr>
          <w:rFonts w:ascii="Times New Roman" w:hAnsi="Times New Roman"/>
          <w:sz w:val="20"/>
        </w:rPr>
      </w:pPr>
      <w:r>
        <w:rPr>
          <w:rFonts w:ascii="Times New Roman" w:hAnsi="Times New Roman"/>
          <w:sz w:val="20"/>
        </w:rPr>
        <w:t xml:space="preserve">As your counsel, we have examined such matters of fact and questions of law as we have deemed necessary in order to render the opinion set forth herein. In connection with our opinion expressed below, we have relied as to certain factual matters on information obtained from public officials, officers of the Company and other sources believed by us to be responsible. We express no opinion as to matters governed by any laws other than the laws of the Delaware General Corporation Law and the federal laws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advise you that, in our opinion, when the Shares have been issued and sold pursuant to the applicable provisions of the Plans, and in accordance with the Registration Statement, such Shares will be validly issued, fully paid and nonassessable shares of the Company’s voting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Gunderson Dettmer Stough Villeneuve</w:t>
            </w:r>
          </w:p>
          <w:p>
            <w:pPr>
              <w:pStyle w:val="TableContents"/>
              <w:bidi w:val="0"/>
              <w:spacing w:before="0" w:after="20"/>
              <w:jc w:val="left"/>
              <w:rPr>
                <w:rFonts w:ascii="Times New Roman" w:hAnsi="Times New Roman"/>
                <w:sz w:val="20"/>
              </w:rPr>
            </w:pPr>
            <w:r>
              <w:rPr>
                <w:rFonts w:ascii="Times New Roman" w:hAnsi="Times New Roman"/>
                <w:sz w:val="20"/>
              </w:rPr>
              <w:t>Franklin &amp; Hachigian, LLP</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GUNDERSON DETTMER STOUGH</w:t>
            </w:r>
          </w:p>
          <w:p>
            <w:pPr>
              <w:pStyle w:val="TableContents"/>
              <w:bidi w:val="0"/>
              <w:spacing w:before="0" w:after="20"/>
              <w:jc w:val="left"/>
              <w:rPr>
                <w:rFonts w:ascii="Times New Roman" w:hAnsi="Times New Roman"/>
                <w:sz w:val="20"/>
              </w:rPr>
            </w:pPr>
            <w:r>
              <w:rPr>
                <w:rFonts w:ascii="Times New Roman" w:hAnsi="Times New Roman"/>
                <w:sz w:val="20"/>
              </w:rPr>
              <w:t>VILLENEUVE FRANKLIN &amp;</w:t>
              <w:br/>
              <w:t>HACHIGIAN, LLP</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924550"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5924550"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7772400" cy="104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7772400" cy="104775"/>
                    </a:xfrm>
                    <a:prstGeom prst="rect">
                      <a:avLst/>
                    </a:prstGeom>
                  </pic:spPr>
                </pic:pic>
              </a:graphicData>
            </a:graphic>
          </wp:inline>
        </w:drawing>
      </w:r>
      <w:r>
        <w:rPr/>
        <w:t xml:space="preserve"> </w:t>
      </w:r>
    </w:p>
    <w:p>
      <w:pPr>
        <w:pStyle w:val="TextBody"/>
        <w:bidi w:val="0"/>
        <w:spacing w:before="0" w:after="0"/>
        <w:jc w:val="right"/>
        <w:rPr>
          <w:rFonts w:ascii="Times New Roman" w:hAnsi="Times New Roman"/>
          <w:b/>
          <w:sz w:val="20"/>
        </w:rPr>
      </w:pPr>
      <w:bookmarkStart w:id="5" w:name="d105192dex231.htm"/>
      <w:bookmarkStart w:id="6" w:name="ksd105192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S-8 of Flywire Corporation of our report dated February 24, 2026 relating to the financial statements and the effectiveness of internal control over financial reporting, which appears in Flywire Corporation’s Annual Report on Form 10-K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February 24, 2026 </w:t>
      </w:r>
    </w:p>
    <w:p>
      <w:pPr>
        <w:pStyle w:val="Normal"/>
        <w:bidi w:val="0"/>
        <w:spacing w:before="0" w:after="0"/>
        <w:jc w:val="left"/>
        <w:rPr>
          <w:sz w:val="4"/>
          <w:szCs w:val="4"/>
        </w:rPr>
      </w:pPr>
      <w:r>
        <w:rPr>
          <w:sz w:val="4"/>
          <w:szCs w:val="4"/>
        </w:rPr>
      </w:r>
      <w:bookmarkStart w:id="7" w:name="d105192dexfilingfees.htm"/>
      <w:bookmarkStart w:id="8" w:name="ksd105192dexfilingfees"/>
      <w:bookmarkStart w:id="9" w:name="d105192dexfilingfees.htm"/>
      <w:bookmarkStart w:id="10" w:name="ksd105192dexfilingfees"/>
      <w:bookmarkEnd w:id="9"/>
      <w:bookmarkEnd w:id="10"/>
      <w:r>
        <w:br w:type="page"/>
      </w:r>
    </w:p>
    <w:tbl>
      <w:tblPr>
        <w:tblW w:w="3554" w:type="dxa"/>
        <w:jc w:val="left"/>
        <w:tblInd w:w="0" w:type="dxa"/>
        <w:tblLayout w:type="fixed"/>
        <w:tblCellMar>
          <w:top w:w="28" w:type="dxa"/>
          <w:left w:w="28" w:type="dxa"/>
          <w:bottom w:w="28" w:type="dxa"/>
          <w:right w:w="28" w:type="dxa"/>
        </w:tblCellMar>
      </w:tblPr>
      <w:tblGrid>
        <w:gridCol w:w="3400"/>
        <w:gridCol w:w="154"/>
      </w:tblGrid>
      <w:tr>
        <w:trPr/>
        <w:tc>
          <w:tcPr>
            <w:tcW w:w="355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0" w:type="dxa"/>
            <w:tcBorders/>
            <w:vAlign w:val="center"/>
          </w:tcPr>
          <w:p>
            <w:pPr>
              <w:pStyle w:val="TableContents"/>
              <w:bidi w:val="0"/>
              <w:spacing w:before="0" w:after="283"/>
              <w:jc w:val="left"/>
              <w:rPr>
                <w:b/>
              </w:rPr>
            </w:pPr>
            <w:r>
              <w:rPr>
                <w:b/>
              </w:rPr>
              <w:t xml:space="preserve">Flywire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8"/>
        <w:gridCol w:w="1022"/>
        <w:gridCol w:w="1295"/>
        <w:gridCol w:w="1204"/>
        <w:gridCol w:w="1222"/>
        <w:gridCol w:w="1706"/>
        <w:gridCol w:w="1127"/>
        <w:gridCol w:w="1429"/>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8"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2"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5"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4"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22"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8" w:type="dxa"/>
            <w:tcBorders/>
            <w:shd w:fill="E7E7E2" w:val="clear"/>
            <w:vAlign w:val="center"/>
          </w:tcPr>
          <w:p>
            <w:pPr>
              <w:pStyle w:val="TableContents"/>
              <w:bidi w:val="0"/>
              <w:spacing w:before="0" w:after="283"/>
              <w:jc w:val="left"/>
              <w:rPr/>
            </w:pPr>
            <w:r>
              <w:rPr/>
              <w:t xml:space="preserve">Equity </w:t>
            </w:r>
          </w:p>
        </w:tc>
        <w:tc>
          <w:tcPr>
            <w:tcW w:w="1022" w:type="dxa"/>
            <w:tcBorders/>
            <w:shd w:fill="E7E7E2" w:val="clear"/>
            <w:vAlign w:val="center"/>
          </w:tcPr>
          <w:p>
            <w:pPr>
              <w:pStyle w:val="TableContents"/>
              <w:bidi w:val="0"/>
              <w:spacing w:before="0" w:after="283"/>
              <w:jc w:val="left"/>
              <w:rPr/>
            </w:pPr>
            <w:r>
              <w:rPr/>
              <w:t xml:space="preserve">Voting common stock, par value $0.0001 per share </w:t>
            </w:r>
          </w:p>
        </w:tc>
        <w:tc>
          <w:tcPr>
            <w:tcW w:w="1295" w:type="dxa"/>
            <w:tcBorders/>
            <w:shd w:fill="E7E7E2" w:val="clear"/>
            <w:vAlign w:val="center"/>
          </w:tcPr>
          <w:p>
            <w:pPr>
              <w:pStyle w:val="TableContents"/>
              <w:bidi w:val="0"/>
              <w:spacing w:before="0" w:after="283"/>
              <w:jc w:val="center"/>
              <w:rPr/>
            </w:pPr>
            <w:r>
              <w:rPr/>
              <w:t xml:space="preserve">457(a) </w:t>
            </w:r>
          </w:p>
        </w:tc>
        <w:tc>
          <w:tcPr>
            <w:tcW w:w="1204" w:type="dxa"/>
            <w:tcBorders/>
            <w:shd w:fill="E7E7E2" w:val="clear"/>
            <w:vAlign w:val="center"/>
          </w:tcPr>
          <w:p>
            <w:pPr>
              <w:pStyle w:val="TableContents"/>
              <w:bidi w:val="0"/>
              <w:spacing w:before="0" w:after="283"/>
              <w:jc w:val="right"/>
              <w:rPr/>
            </w:pPr>
            <w:r>
              <w:rPr/>
              <w:t xml:space="preserve">6,097,971 </w:t>
            </w:r>
          </w:p>
        </w:tc>
        <w:tc>
          <w:tcPr>
            <w:tcW w:w="1222" w:type="dxa"/>
            <w:tcBorders/>
            <w:shd w:fill="E7E7E2" w:val="clear"/>
            <w:vAlign w:val="center"/>
          </w:tcPr>
          <w:p>
            <w:pPr>
              <w:pStyle w:val="TableContents"/>
              <w:bidi w:val="0"/>
              <w:spacing w:before="0" w:after="283"/>
              <w:jc w:val="right"/>
              <w:rPr/>
            </w:pPr>
            <w:r>
              <w:rPr/>
              <w:t xml:space="preserve">$ 10.945 </w:t>
            </w:r>
          </w:p>
        </w:tc>
        <w:tc>
          <w:tcPr>
            <w:tcW w:w="1706" w:type="dxa"/>
            <w:tcBorders/>
            <w:shd w:fill="E7E7E2" w:val="clear"/>
            <w:vAlign w:val="center"/>
          </w:tcPr>
          <w:p>
            <w:pPr>
              <w:pStyle w:val="TableContents"/>
              <w:bidi w:val="0"/>
              <w:spacing w:before="0" w:after="283"/>
              <w:jc w:val="right"/>
              <w:rPr/>
            </w:pPr>
            <w:r>
              <w:rPr/>
              <w:t xml:space="preserve">$ 66,742,292.60 </w:t>
            </w:r>
          </w:p>
        </w:tc>
        <w:tc>
          <w:tcPr>
            <w:tcW w:w="1127"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$ 9,217.11 </w:t>
            </w:r>
          </w:p>
        </w:tc>
      </w:tr>
      <w:tr>
        <w:trPr/>
        <w:tc>
          <w:tcPr>
            <w:tcW w:w="242" w:type="dxa"/>
            <w:tcBorders/>
            <w:shd w:fill="E7E7E2" w:val="clear"/>
            <w:vAlign w:val="center"/>
          </w:tcPr>
          <w:p>
            <w:pPr>
              <w:pStyle w:val="TableContents"/>
              <w:bidi w:val="0"/>
              <w:spacing w:before="0" w:after="283"/>
              <w:jc w:val="center"/>
              <w:rPr/>
            </w:pPr>
            <w:r>
              <w:rPr/>
              <w:t xml:space="preserve">2 </w:t>
            </w:r>
          </w:p>
        </w:tc>
        <w:tc>
          <w:tcPr>
            <w:tcW w:w="958" w:type="dxa"/>
            <w:tcBorders/>
            <w:shd w:fill="E7E7E2" w:val="clear"/>
            <w:vAlign w:val="center"/>
          </w:tcPr>
          <w:p>
            <w:pPr>
              <w:pStyle w:val="TableContents"/>
              <w:bidi w:val="0"/>
              <w:spacing w:before="0" w:after="283"/>
              <w:jc w:val="left"/>
              <w:rPr/>
            </w:pPr>
            <w:r>
              <w:rPr/>
              <w:t xml:space="preserve">Equity </w:t>
            </w:r>
          </w:p>
        </w:tc>
        <w:tc>
          <w:tcPr>
            <w:tcW w:w="1022" w:type="dxa"/>
            <w:tcBorders/>
            <w:shd w:fill="E7E7E2" w:val="clear"/>
            <w:vAlign w:val="center"/>
          </w:tcPr>
          <w:p>
            <w:pPr>
              <w:pStyle w:val="TableContents"/>
              <w:bidi w:val="0"/>
              <w:spacing w:before="0" w:after="283"/>
              <w:jc w:val="left"/>
              <w:rPr/>
            </w:pPr>
            <w:r>
              <w:rPr/>
              <w:t xml:space="preserve">Voting common stock, par value $0.0001 per share </w:t>
            </w:r>
          </w:p>
        </w:tc>
        <w:tc>
          <w:tcPr>
            <w:tcW w:w="1295" w:type="dxa"/>
            <w:tcBorders/>
            <w:shd w:fill="E7E7E2" w:val="clear"/>
            <w:vAlign w:val="center"/>
          </w:tcPr>
          <w:p>
            <w:pPr>
              <w:pStyle w:val="TableContents"/>
              <w:bidi w:val="0"/>
              <w:spacing w:before="0" w:after="283"/>
              <w:jc w:val="center"/>
              <w:rPr/>
            </w:pPr>
            <w:r>
              <w:rPr/>
              <w:t xml:space="preserve">457(a) </w:t>
            </w:r>
          </w:p>
        </w:tc>
        <w:tc>
          <w:tcPr>
            <w:tcW w:w="1204" w:type="dxa"/>
            <w:tcBorders/>
            <w:shd w:fill="E7E7E2" w:val="clear"/>
            <w:vAlign w:val="center"/>
          </w:tcPr>
          <w:p>
            <w:pPr>
              <w:pStyle w:val="TableContents"/>
              <w:bidi w:val="0"/>
              <w:spacing w:before="0" w:after="283"/>
              <w:jc w:val="right"/>
              <w:rPr/>
            </w:pPr>
            <w:r>
              <w:rPr/>
              <w:t xml:space="preserve">1,219,594 </w:t>
            </w:r>
          </w:p>
        </w:tc>
        <w:tc>
          <w:tcPr>
            <w:tcW w:w="1222" w:type="dxa"/>
            <w:tcBorders/>
            <w:shd w:fill="E7E7E2" w:val="clear"/>
            <w:vAlign w:val="center"/>
          </w:tcPr>
          <w:p>
            <w:pPr>
              <w:pStyle w:val="TableContents"/>
              <w:bidi w:val="0"/>
              <w:spacing w:before="0" w:after="283"/>
              <w:jc w:val="right"/>
              <w:rPr/>
            </w:pPr>
            <w:r>
              <w:rPr/>
              <w:t xml:space="preserve">$ 9.3033 </w:t>
            </w:r>
          </w:p>
        </w:tc>
        <w:tc>
          <w:tcPr>
            <w:tcW w:w="1706" w:type="dxa"/>
            <w:tcBorders/>
            <w:shd w:fill="E7E7E2" w:val="clear"/>
            <w:vAlign w:val="center"/>
          </w:tcPr>
          <w:p>
            <w:pPr>
              <w:pStyle w:val="TableContents"/>
              <w:bidi w:val="0"/>
              <w:spacing w:before="0" w:after="283"/>
              <w:jc w:val="right"/>
              <w:rPr/>
            </w:pPr>
            <w:r>
              <w:rPr/>
              <w:t xml:space="preserve">$ 11,346,248.86 </w:t>
            </w:r>
          </w:p>
        </w:tc>
        <w:tc>
          <w:tcPr>
            <w:tcW w:w="1127"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$ 1,566.92 </w:t>
            </w:r>
          </w:p>
        </w:tc>
      </w:tr>
      <w:tr>
        <w:trPr/>
        <w:tc>
          <w:tcPr>
            <w:tcW w:w="4721" w:type="dxa"/>
            <w:gridSpan w:val="5"/>
            <w:tcBorders/>
            <w:vAlign w:val="center"/>
          </w:tcPr>
          <w:p>
            <w:pPr>
              <w:pStyle w:val="TableContents"/>
              <w:bidi w:val="0"/>
              <w:spacing w:before="0" w:after="0"/>
              <w:ind w:left="0" w:right="0" w:hanging="0"/>
              <w:jc w:val="right"/>
              <w:rPr/>
            </w:pPr>
            <w:r>
              <w:rPr/>
              <w:t>Total Offering Amounts:</w:t>
            </w:r>
          </w:p>
        </w:tc>
        <w:tc>
          <w:tcPr>
            <w:tcW w:w="122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0"/>
              <w:ind w:left="0" w:right="0" w:hanging="0"/>
              <w:jc w:val="right"/>
              <w:rPr/>
            </w:pPr>
            <w:bookmarkStart w:id="11" w:name="MaxAggtOfferingPrice"/>
            <w:bookmarkEnd w:id="11"/>
            <w:r>
              <w:rPr/>
              <w:t xml:space="preserve">$ 78,088,541.46 </w:t>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$ 10,784.03 </w:t>
            </w:r>
          </w:p>
        </w:tc>
      </w:tr>
      <w:tr>
        <w:trPr/>
        <w:tc>
          <w:tcPr>
            <w:tcW w:w="4721" w:type="dxa"/>
            <w:gridSpan w:val="5"/>
            <w:tcBorders/>
            <w:vAlign w:val="center"/>
          </w:tcPr>
          <w:p>
            <w:pPr>
              <w:pStyle w:val="TableContents"/>
              <w:bidi w:val="0"/>
              <w:spacing w:before="0" w:after="0"/>
              <w:ind w:left="0" w:right="0" w:hanging="0"/>
              <w:jc w:val="right"/>
              <w:rPr/>
            </w:pPr>
            <w:r>
              <w:rPr/>
              <w:t xml:space="preserve">Total Fee Offsets: </w:t>
            </w:r>
          </w:p>
        </w:tc>
        <w:tc>
          <w:tcPr>
            <w:tcW w:w="122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21" w:type="dxa"/>
            <w:gridSpan w:val="5"/>
            <w:tcBorders/>
            <w:vAlign w:val="center"/>
          </w:tcPr>
          <w:p>
            <w:pPr>
              <w:pStyle w:val="TableContents"/>
              <w:bidi w:val="0"/>
              <w:spacing w:before="0" w:after="0"/>
              <w:ind w:left="0" w:right="0" w:hanging="0"/>
              <w:jc w:val="right"/>
              <w:rPr/>
            </w:pPr>
            <w:r>
              <w:rPr/>
              <w:t xml:space="preserve">Net Fee Due: </w:t>
            </w:r>
          </w:p>
        </w:tc>
        <w:tc>
          <w:tcPr>
            <w:tcW w:w="122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4" w:name="NetFeeAmt"/>
            <w:bookmarkEnd w:id="14"/>
            <w:r>
              <w:rPr/>
              <w:t xml:space="preserve">$ 10,784.03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7"/>
        <w:gridCol w:w="8710"/>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(1) Pursuant to Rule 416(a) under the Securities Act of 1933, as amended (the "Securities Act"), this Registration Statement shall also cover any additional shares of Registrant's voting common stock, par value $0.0001 per share (the "Common Stock"), that become issuable under (a) the Registrant's 2021 Equity Incentive Plan (the "2021 EIP") and (b) the Registrant's 2021 Employee Stock Purchase Plan (the "2021 ESPP"), as a result of any stock dividend, stock split, recapitalization, or other similar transaction effected without the receipt of consideration that results in an increase to the number of outstanding shares of Registrant's Common Stock, as applicable. Common Stock issuable under the 2021 EIP and 2021 ESPP were previously registered on a Registration Statement on June 2, 2021 (File No. 333-256695), March 29, 2022 (File No. 333-263956), March 16, 2023 (File No. 333-270587), February 28, 2024 (File No. 333-277440) and February 26, 2025 (File No. 333-285288). (2) Represents 6,097,971 shares of Common Stock that were automatically added to the shares reserved for issuance under the 2021 EIP on January 1, 2026 pursuant to an "evergreen" provision contained in the 2021 EIP (the "2021 EIP Evergreen Shares"). The number of shares of Common Stock available for issuance under the 2021 EIP is subject to an automatic annual increase on the first day of each fiscal year of the Registrant equal to the least of (i) 5% of the total number of Common Stock actually issued and outstanding on the last day of the preceding fiscal year, or (ii) a number of shares of Common Stock determined by the Registrant's board of directors. (4) This estimate is made pursuant to Rule 457(h)(1) and Rule 457(c) of the Securities Act solely for purposes of calculating the registration fee. The price per share and aggregate offering price of the 2021 EIP Evergreen Shares are based upon the average of the high and low prices of the Common Stock on February 17, 2026, as reported on the Nasdaq Global Select Market, which date is within five business days prior to the filing of this Registration Statement. The price per share and aggregate offering price of the 2021 ESPP Evergreen Shares are based upon the average of the high and low prices of the Common Stock on February 17, 2026, as reported on the Nasdaq Global Select Market, which date is within five (5) business days prior to the filing of this Registration Statement, multiplied by 85%, which is the percentage of the price per share applicable to purchasers under the 2021 ESPP. (5) The Registrant does not have any fee offsets.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(1) Pursuant to Rule 416(a) under the Securities Act of 1933, as amended (the "Securities Act"), this Registration Statement shall also cover any additional shares of Registrant's voting common stock, par value $0.0001 per share (the "Common Stock"), that become issuable under (a) the Registrant's 2021 Equity Incentive Plan (the "2021 EIP") and (b) the Registrant's 2021 Employee Stock Purchase Plan (the "2021 ESPP"), as a result of any stock dividend, stock split, recapitalization, or other similar transaction effected without the receipt of consideration that results in an increase to the number of outstanding shares of Registrant's Common Stock, as applicable. Common Stock issuable under the 2021 EIP and 2021 ESPP were previously registered on a Registration Statement on June 2, 2021 (File No. 333-256695), March 29, 2022 (File No. 333-263956), March 16, 2023 (File No. 333-270587), February 28, 2024 (File No. 333-277440) and February 26, 2025 (File No. 333-285288). (3) Represents 1,219,594 shares of Common Stock that were automatically added to the shares reserved for issuance under the 2021 ESPP on January 1, 2026 pursuant to an "evergreen" provision contained in the 2021 ESPP (the "2021 ESPP Evergreen Shares"). The number of shares of Common Stock available for issuance under the 2021 ESPP is subject to an automatic annual increase on the first day of each fiscal year of the Registrant equal to the least of (i) one percent (1%) of the total number of shares of Common Stock actually issued and outstanding on the last day of the preceding fiscal year, (ii) 2,000,000 shares of Common Stock, or (iii) a number of shares of Common Stock determined by the Registrant's board of directors. (4) This estimate is made pursuant to Rule 457(h)(1) and Rule 457(c) of the Securities Act solely for purposes of calculating the registration fee. The price per share and aggregate offering price of the 2021 EIP Evergreen Shares are based upon the average of the high and low prices of the Common Stock on February 17, 2026, as reported on the Nasdaq Global Select Market, which date is within five business days prior to the filing of this Registration Statement. The price per share and aggregate offering price of the 2021 ESPP Evergreen Shares are based upon the average of the high and low prices of the Common Stock on February 17, 2026, as reported on the Nasdaq Global Select Market, which date is within five (5) business days prior to the filing of this Registration Statement, multiplied by 85%, which is the percentage of the price per share applicable to purchasers under the 2021 ESPP. (5) The Registrant does not have any fee offsets.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80560/000119312521178839/d189841ds8.htm" TargetMode="External"/><Relationship Id="rId3" Type="http://schemas.openxmlformats.org/officeDocument/2006/relationships/hyperlink" Target="http://www.sec.gov/Archives/edgar/data/1580560/000119312522088234/d341773ds8.htm" TargetMode="External"/><Relationship Id="rId4" Type="http://schemas.openxmlformats.org/officeDocument/2006/relationships/hyperlink" Target="http://www.sec.gov/Archives/edgar/data/1580560/000119312523071515/d481801ds8.htm" TargetMode="External"/><Relationship Id="rId5" Type="http://schemas.openxmlformats.org/officeDocument/2006/relationships/hyperlink" Target="http://www.sec.gov/Archives/edgar/data/1580560/000119312524049652/d799194ds8.htm" TargetMode="External"/><Relationship Id="rId6" Type="http://schemas.openxmlformats.org/officeDocument/2006/relationships/hyperlink" Target="http://www.sec.gov/Archives/edgar/data/1580560/000119312525036883/d918958ds8.htm"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2358</Words>
  <Characters>12546</Characters>
  <CharactersWithSpaces>14915</CharactersWithSpaces>
  <Paragraphs>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