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6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16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gridSpan w:val="5"/>
            <w:vMerge w:val="restart"/>
          </w:tcPr>
          <w:p>
            <w:pPr>
              <w:jc w:val="center"/>
              <w:ind w:right="14"/>
              <w:spacing w:after="0" w:line="142" w:lineRule="exact"/>
              <w:rPr>
                <w:sz w:val="20"/>
                <w:szCs w:val="20"/>
                <w:color w:val="auto"/>
              </w:rPr>
            </w:pPr>
            <w:r>
              <w:rPr>
                <w:rFonts w:ascii="Arial" w:cs="Arial" w:eastAsia="Arial" w:hAnsi="Arial"/>
                <w:sz w:val="13"/>
                <w:szCs w:val="13"/>
                <w:color w:val="auto"/>
                <w:w w:val="98"/>
              </w:rPr>
              <w:t>Washington, D.C. 20549</w:t>
            </w: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gridSpan w:val="20"/>
            <w:vMerge w:val="restart"/>
          </w:tcPr>
          <w:p>
            <w:pPr>
              <w:jc w:val="center"/>
              <w:ind w:right="53"/>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6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16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6"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480" w:type="dxa"/>
            <w:vAlign w:val="bottom"/>
            <w:gridSpan w:val="16"/>
            <w:vMerge w:val="restart"/>
          </w:tcPr>
          <w:p>
            <w:pPr>
              <w:jc w:val="center"/>
              <w:ind w:right="46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80" w:type="dxa"/>
            <w:vAlign w:val="bottom"/>
            <w:gridSpan w:val="16"/>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80" w:type="dxa"/>
            <w:vAlign w:val="bottom"/>
            <w:gridSpan w:val="1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36"/>
              <w:spacing w:after="0"/>
              <w:rPr>
                <w:sz w:val="20"/>
                <w:szCs w:val="20"/>
                <w:color w:val="auto"/>
              </w:rPr>
            </w:pPr>
            <w:r>
              <w:rPr>
                <w:rFonts w:ascii="Arial" w:cs="Arial" w:eastAsia="Arial" w:hAnsi="Arial"/>
                <w:sz w:val="13"/>
                <w:szCs w:val="13"/>
                <w:color w:val="auto"/>
                <w:w w:val="99"/>
              </w:rPr>
              <w:t>or Section 30(h) of the Investment Company Act of 1940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vMerge w:val="restart"/>
          </w:tcPr>
          <w:p>
            <w:pPr>
              <w:spacing w:after="0" w:line="239" w:lineRule="exact"/>
              <w:rPr>
                <w:rFonts w:ascii="Arial" w:cs="Arial" w:eastAsia="Arial" w:hAnsi="Arial"/>
                <w:sz w:val="21"/>
                <w:szCs w:val="21"/>
                <w:color w:val="0000EE"/>
                <w:w w:val="93"/>
              </w:rPr>
            </w:pPr>
            <w:hyperlink r:id="rId8">
              <w:r>
                <w:rPr>
                  <w:rFonts w:ascii="Arial" w:cs="Arial" w:eastAsia="Arial" w:hAnsi="Arial"/>
                  <w:sz w:val="21"/>
                  <w:szCs w:val="21"/>
                  <w:color w:val="0000EE"/>
                  <w:w w:val="93"/>
                </w:rPr>
                <w:t>Ellis Michael G</w:t>
              </w:r>
            </w:hyperlink>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7"/>
            <w:vMerge w:val="restart"/>
          </w:tcPr>
          <w:p>
            <w:pPr>
              <w:spacing w:after="0" w:line="182" w:lineRule="exact"/>
              <w:rPr>
                <w:rFonts w:ascii="Arial" w:cs="Arial" w:eastAsia="Arial" w:hAnsi="Arial"/>
                <w:sz w:val="21"/>
                <w:szCs w:val="21"/>
                <w:color w:val="0000EE"/>
              </w:rPr>
            </w:pPr>
            <w:hyperlink r:id="rId9">
              <w:r>
                <w:rPr>
                  <w:rFonts w:ascii="Arial" w:cs="Arial" w:eastAsia="Arial" w:hAnsi="Arial"/>
                  <w:sz w:val="21"/>
                  <w:szCs w:val="21"/>
                  <w:color w:val="0000EE"/>
                </w:rPr>
                <w:t xml:space="preserve">Flywire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8"/>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Borders>
              <w:bottom w:val="single" w:sz="8" w:color="0000EE"/>
            </w:tcBorders>
            <w:gridSpan w:val="3"/>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3"/>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4"/>
            <w:vMerge w:val="restart"/>
          </w:tcPr>
          <w:p>
            <w:pPr>
              <w:ind w:left="2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6"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40" w:type="dxa"/>
            <w:vAlign w:val="bottom"/>
            <w:gridSpan w:val="8"/>
          </w:tcPr>
          <w:p>
            <w:pPr>
              <w:ind w:left="340"/>
              <w:spacing w:after="0"/>
              <w:rPr>
                <w:sz w:val="20"/>
                <w:szCs w:val="20"/>
                <w:color w:val="auto"/>
              </w:rPr>
            </w:pPr>
            <w:r>
              <w:rPr>
                <w:rFonts w:ascii="Arial" w:cs="Arial" w:eastAsia="Arial" w:hAnsi="Arial"/>
                <w:sz w:val="17"/>
                <w:szCs w:val="17"/>
                <w:color w:val="0000FF"/>
              </w:rPr>
              <w:t>06/12/2023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6"/>
            <w:vMerge w:val="restart"/>
          </w:tcPr>
          <w:p>
            <w:pPr>
              <w:ind w:left="300"/>
              <w:spacing w:after="0"/>
              <w:rPr>
                <w:sz w:val="20"/>
                <w:szCs w:val="20"/>
                <w:color w:val="auto"/>
              </w:rPr>
            </w:pPr>
            <w:r>
              <w:rPr>
                <w:rFonts w:ascii="Arial" w:cs="Arial" w:eastAsia="Arial" w:hAnsi="Arial"/>
                <w:sz w:val="17"/>
                <w:szCs w:val="17"/>
                <w:color w:val="0000FF"/>
              </w:rPr>
              <w:t>Chief Financial Officer</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restart"/>
          </w:tcPr>
          <w:p>
            <w:pPr>
              <w:spacing w:after="0" w:line="177" w:lineRule="exact"/>
              <w:rPr>
                <w:sz w:val="20"/>
                <w:szCs w:val="20"/>
                <w:color w:val="auto"/>
              </w:rPr>
            </w:pPr>
            <w:r>
              <w:rPr>
                <w:rFonts w:ascii="Arial" w:cs="Arial" w:eastAsia="Arial" w:hAnsi="Arial"/>
                <w:sz w:val="17"/>
                <w:szCs w:val="17"/>
                <w:color w:val="0000FF"/>
              </w:rPr>
              <w:t>C/O FLYWIRE CORPORATION</w:t>
            </w: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7"/>
                <w:szCs w:val="17"/>
                <w:color w:val="0000FF"/>
              </w:rPr>
              <w:t>141 TREMONT STREET, SUITE 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9"/>
                <w:szCs w:val="19"/>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8"/>
          </w:tcPr>
          <w:p>
            <w:pPr>
              <w:ind w:left="340"/>
              <w:spacing w:after="0" w:line="147" w:lineRule="exact"/>
              <w:rPr>
                <w:sz w:val="20"/>
                <w:szCs w:val="20"/>
                <w:color w:val="auto"/>
              </w:rPr>
            </w:pPr>
            <w:r>
              <w:rPr>
                <w:rFonts w:ascii="Arial" w:cs="Arial" w:eastAsia="Arial" w:hAnsi="Arial"/>
                <w:sz w:val="17"/>
                <w:szCs w:val="17"/>
                <w:color w:val="0000FF"/>
              </w:rPr>
              <w:t>06/14/2023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Line)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11"/>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MA</w:t>
            </w:r>
          </w:p>
        </w:tc>
        <w:tc>
          <w:tcPr>
            <w:tcW w:w="102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6"/>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1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0"/>
                <w:szCs w:val="2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140" w:type="dxa"/>
            <w:vAlign w:val="bottom"/>
            <w:gridSpan w:val="12"/>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160" w:type="dxa"/>
            <w:vAlign w:val="bottom"/>
            <w:gridSpan w:val="12"/>
          </w:tcPr>
          <w:p>
            <w:pPr>
              <w:ind w:left="80"/>
              <w:spacing w:after="0" w:line="123" w:lineRule="exact"/>
              <w:rPr>
                <w:sz w:val="20"/>
                <w:szCs w:val="20"/>
                <w:color w:val="auto"/>
              </w:rPr>
            </w:pPr>
            <w:r>
              <w:rPr>
                <w:rFonts w:ascii="Arial" w:cs="Arial" w:eastAsia="Arial" w:hAnsi="Arial"/>
                <w:sz w:val="12"/>
                <w:szCs w:val="12"/>
                <w:color w:val="auto"/>
                <w:w w:val="96"/>
              </w:rPr>
              <w:t>satisfy the affirmative defense conditions of Rule 10b5-1(c). See Instruction 10.</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7"/>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jc w:val="center"/>
              <w:ind w:right="42"/>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7"/>
          </w:tcPr>
          <w:p>
            <w:pPr>
              <w:ind w:left="5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62"/>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00" w:type="dxa"/>
            <w:vAlign w:val="bottom"/>
            <w:tcBorders>
              <w:bottom w:val="single" w:sz="8" w:color="2C2C2C"/>
            </w:tcBorders>
            <w:gridSpan w:val="6"/>
          </w:tcPr>
          <w:p>
            <w:pPr>
              <w:jc w:val="right"/>
              <w:spacing w:after="0"/>
              <w:rPr>
                <w:sz w:val="20"/>
                <w:szCs w:val="20"/>
                <w:color w:val="auto"/>
              </w:rPr>
            </w:pPr>
            <w:r>
              <w:rPr>
                <w:rFonts w:ascii="Arial" w:cs="Arial" w:eastAsia="Arial" w:hAnsi="Arial"/>
                <w:sz w:val="17"/>
                <w:szCs w:val="17"/>
                <w:color w:val="0000FF"/>
              </w:rPr>
              <w:t>06/12/2023</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right="14"/>
              <w:spacing w:after="0"/>
              <w:rPr>
                <w:sz w:val="20"/>
                <w:szCs w:val="20"/>
                <w:color w:val="auto"/>
              </w:rPr>
            </w:pPr>
            <w:r>
              <w:rPr>
                <w:rFonts w:ascii="Arial" w:cs="Arial" w:eastAsia="Arial" w:hAnsi="Arial"/>
                <w:sz w:val="17"/>
                <w:szCs w:val="17"/>
                <w:color w:val="0000FF"/>
              </w:rPr>
              <w:t>8,591</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ind w:right="15"/>
              <w:spacing w:after="0"/>
              <w:rPr>
                <w:sz w:val="20"/>
                <w:szCs w:val="20"/>
                <w:color w:val="auto"/>
              </w:rPr>
            </w:pPr>
            <w:r>
              <w:rPr>
                <w:rFonts w:ascii="Arial" w:cs="Arial" w:eastAsia="Arial" w:hAnsi="Arial"/>
                <w:sz w:val="17"/>
                <w:szCs w:val="17"/>
                <w:color w:val="0000FF"/>
                <w:w w:val="86"/>
              </w:rPr>
              <w:t>240,675</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73"/>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00" w:type="dxa"/>
            <w:vAlign w:val="bottom"/>
            <w:tcBorders>
              <w:bottom w:val="single" w:sz="8" w:color="2C2C2C"/>
            </w:tcBorders>
            <w:gridSpan w:val="6"/>
          </w:tcPr>
          <w:p>
            <w:pPr>
              <w:jc w:val="right"/>
              <w:spacing w:after="0"/>
              <w:rPr>
                <w:sz w:val="20"/>
                <w:szCs w:val="20"/>
                <w:color w:val="auto"/>
              </w:rPr>
            </w:pPr>
            <w:r>
              <w:rPr>
                <w:rFonts w:ascii="Arial" w:cs="Arial" w:eastAsia="Arial" w:hAnsi="Arial"/>
                <w:sz w:val="17"/>
                <w:szCs w:val="17"/>
                <w:color w:val="0000FF"/>
              </w:rPr>
              <w:t>06/12/2023</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12,000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32.1704</w:t>
            </w:r>
            <w:r>
              <w:rPr>
                <w:rFonts w:ascii="Arial" w:cs="Arial" w:eastAsia="Arial" w:hAnsi="Arial"/>
                <w:sz w:val="21"/>
                <w:szCs w:val="21"/>
                <w:color w:val="008000"/>
                <w:w w:val="86"/>
                <w:vertAlign w:val="superscript"/>
              </w:rPr>
              <w:t>(3)</w:t>
            </w:r>
          </w:p>
        </w:tc>
        <w:tc>
          <w:tcPr>
            <w:tcW w:w="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ind w:right="15"/>
              <w:spacing w:after="0"/>
              <w:rPr>
                <w:sz w:val="20"/>
                <w:szCs w:val="20"/>
                <w:color w:val="auto"/>
              </w:rPr>
            </w:pPr>
            <w:r>
              <w:rPr>
                <w:rFonts w:ascii="Arial" w:cs="Arial" w:eastAsia="Arial" w:hAnsi="Arial"/>
                <w:sz w:val="17"/>
                <w:szCs w:val="17"/>
                <w:color w:val="0000FF"/>
                <w:w w:val="86"/>
              </w:rPr>
              <w:t>228,675</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73"/>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vMerge w:val="restart"/>
          </w:tcPr>
          <w:p>
            <w:pPr>
              <w:jc w:val="center"/>
              <w:ind w:right="35"/>
              <w:spacing w:after="0"/>
              <w:rPr>
                <w:sz w:val="20"/>
                <w:szCs w:val="20"/>
                <w:color w:val="auto"/>
              </w:rPr>
            </w:pPr>
            <w:r>
              <w:rPr>
                <w:rFonts w:ascii="Arial" w:cs="Arial" w:eastAsia="Arial" w:hAnsi="Arial"/>
                <w:sz w:val="17"/>
                <w:szCs w:val="17"/>
                <w:color w:val="0000FF"/>
                <w:w w:val="88"/>
              </w:rPr>
              <w:t>18,125</w:t>
            </w:r>
          </w:p>
        </w:tc>
        <w:tc>
          <w:tcPr>
            <w:tcW w:w="280" w:type="dxa"/>
            <w:vAlign w:val="bottom"/>
          </w:tcPr>
          <w:p>
            <w:pPr>
              <w:spacing w:after="0"/>
              <w:rPr>
                <w:sz w:val="21"/>
                <w:szCs w:val="21"/>
                <w:color w:val="auto"/>
              </w:rPr>
            </w:pPr>
          </w:p>
        </w:tc>
        <w:tc>
          <w:tcPr>
            <w:tcW w:w="660" w:type="dxa"/>
            <w:vAlign w:val="bottom"/>
            <w:vMerge w:val="restart"/>
          </w:tcPr>
          <w:p>
            <w:pPr>
              <w:jc w:val="center"/>
              <w:ind w:right="293"/>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7"/>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3"/>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vMerge w:val="restart"/>
          </w:tcPr>
          <w:p>
            <w:pPr>
              <w:jc w:val="center"/>
              <w:ind w:right="35"/>
              <w:spacing w:after="0"/>
              <w:rPr>
                <w:sz w:val="20"/>
                <w:szCs w:val="20"/>
                <w:color w:val="auto"/>
              </w:rPr>
            </w:pPr>
            <w:r>
              <w:rPr>
                <w:rFonts w:ascii="Arial" w:cs="Arial" w:eastAsia="Arial" w:hAnsi="Arial"/>
                <w:sz w:val="17"/>
                <w:szCs w:val="17"/>
                <w:color w:val="0000FF"/>
                <w:w w:val="88"/>
              </w:rPr>
              <w:t>28,927</w:t>
            </w:r>
          </w:p>
        </w:tc>
        <w:tc>
          <w:tcPr>
            <w:tcW w:w="280" w:type="dxa"/>
            <w:vAlign w:val="bottom"/>
          </w:tcPr>
          <w:p>
            <w:pPr>
              <w:spacing w:after="0"/>
              <w:rPr>
                <w:sz w:val="21"/>
                <w:szCs w:val="21"/>
                <w:color w:val="auto"/>
              </w:rPr>
            </w:pPr>
          </w:p>
        </w:tc>
        <w:tc>
          <w:tcPr>
            <w:tcW w:w="660" w:type="dxa"/>
            <w:vAlign w:val="bottom"/>
            <w:vMerge w:val="restart"/>
          </w:tcPr>
          <w:p>
            <w:pPr>
              <w:jc w:val="center"/>
              <w:ind w:right="293"/>
              <w:spacing w:after="0"/>
              <w:rPr>
                <w:sz w:val="20"/>
                <w:szCs w:val="20"/>
                <w:color w:val="auto"/>
              </w:rPr>
            </w:pPr>
            <w:r>
              <w:rPr>
                <w:rFonts w:ascii="Arial" w:cs="Arial" w:eastAsia="Arial" w:hAnsi="Arial"/>
                <w:sz w:val="17"/>
                <w:szCs w:val="17"/>
                <w:color w:val="0000FF"/>
              </w:rPr>
              <w:t>I</w:t>
            </w:r>
          </w:p>
        </w:tc>
        <w:tc>
          <w:tcPr>
            <w:tcW w:w="8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gridSpan w:val="7"/>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40" w:type="dxa"/>
            <w:vAlign w:val="bottom"/>
            <w:gridSpan w:val="21"/>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of 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3"/>
            <w:vMerge w:val="restart"/>
          </w:tcPr>
          <w:p>
            <w:pPr>
              <w:ind w:left="300"/>
              <w:spacing w:after="0"/>
              <w:rPr>
                <w:sz w:val="20"/>
                <w:szCs w:val="20"/>
                <w:color w:val="auto"/>
              </w:rPr>
            </w:pPr>
            <w:r>
              <w:rPr>
                <w:rFonts w:ascii="Arial" w:cs="Arial" w:eastAsia="Arial" w:hAnsi="Arial"/>
                <w:sz w:val="13"/>
                <w:szCs w:val="13"/>
                <w:color w:val="0000FF"/>
                <w:w w:val="84"/>
              </w:rPr>
              <w:t>8,591</w:t>
            </w:r>
            <w:r>
              <w:rPr>
                <w:rFonts w:ascii="Arial" w:cs="Arial" w:eastAsia="Arial" w:hAnsi="Arial"/>
                <w:sz w:val="21"/>
                <w:szCs w:val="21"/>
                <w:color w:val="008000"/>
                <w:w w:val="84"/>
                <w:vertAlign w:val="superscript"/>
              </w:rPr>
              <w:t>(1)</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0"/>
              </w:rPr>
              <w:t>8,591</w:t>
            </w:r>
            <w:r>
              <w:rPr>
                <w:rFonts w:ascii="Arial" w:cs="Arial" w:eastAsia="Arial" w:hAnsi="Arial"/>
                <w:sz w:val="21"/>
                <w:szCs w:val="21"/>
                <w:color w:val="008000"/>
                <w:w w:val="90"/>
                <w:vertAlign w:val="superscript"/>
              </w:rPr>
              <w:t>(1)</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gridSpan w:val="4"/>
            <w:vMerge w:val="restart"/>
          </w:tcPr>
          <w:p>
            <w:pPr>
              <w:ind w:left="140"/>
              <w:spacing w:after="0"/>
              <w:rPr>
                <w:sz w:val="20"/>
                <w:szCs w:val="20"/>
                <w:color w:val="auto"/>
              </w:rPr>
            </w:pPr>
            <w:r>
              <w:rPr>
                <w:rFonts w:ascii="Arial" w:cs="Arial" w:eastAsia="Arial" w:hAnsi="Arial"/>
                <w:sz w:val="13"/>
                <w:szCs w:val="13"/>
                <w:color w:val="0000FF"/>
              </w:rPr>
              <w:t>124,114</w:t>
            </w:r>
            <w:r>
              <w:rPr>
                <w:rFonts w:ascii="Arial" w:cs="Arial" w:eastAsia="Arial" w:hAnsi="Arial"/>
                <w:sz w:val="21"/>
                <w:szCs w:val="21"/>
                <w:color w:val="008000"/>
                <w:vertAlign w:val="superscript"/>
              </w:rPr>
              <w:t>(1)</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3.2766</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3"/>
                <w:szCs w:val="13"/>
                <w:color w:val="0000FF"/>
              </w:rPr>
              <w:t>06/12/2023</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gridSpan w:val="4"/>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11/27/2028</w:t>
            </w: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4"/>
            <w:vMerge w:val="continue"/>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-6560820</wp:posOffset>
            </wp:positionV>
            <wp:extent cx="7045960" cy="6730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73036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0"/>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50"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4/A is being filed to correct (i) the number of shares acquired upon exercise of stock options by the reporting person which was misreported in the original Form 4 due to an administrative error and (ii) the shares beneficially owned following the transactions reported herein.</w:t>
      </w:r>
    </w:p>
    <w:p>
      <w:pPr>
        <w:spacing w:after="0" w:line="24" w:lineRule="exact"/>
        <w:rPr>
          <w:rFonts w:ascii="Arial" w:cs="Arial" w:eastAsia="Arial" w:hAnsi="Arial"/>
          <w:sz w:val="13"/>
          <w:szCs w:val="13"/>
          <w:color w:val="008000"/>
        </w:rPr>
      </w:pPr>
    </w:p>
    <w:p>
      <w:pPr>
        <w:ind w:left="160" w:hanging="11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6" w:lineRule="exact"/>
        <w:rPr>
          <w:rFonts w:ascii="Arial" w:cs="Arial" w:eastAsia="Arial" w:hAnsi="Arial"/>
          <w:sz w:val="12"/>
          <w:szCs w:val="12"/>
          <w:color w:val="008000"/>
        </w:rPr>
      </w:pPr>
    </w:p>
    <w:p>
      <w:pPr>
        <w:jc w:val="both"/>
        <w:ind w:left="40" w:right="160" w:firstLine="2"/>
        <w:spacing w:after="0" w:line="23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$31.82 to $32.495,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40" w:firstLine="2"/>
        <w:spacing w:after="0" w:line="23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40" w:firstLine="2"/>
        <w:spacing w:after="0" w:line="23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5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G. Ellis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06/26/2023</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898"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2023-06-26T17:58:00Z</dcterms:created>
  <dcterms:modified xsi:type="dcterms:W3CDTF">2023-06-26T17:58:00Z</dcterms:modified>
</cp:coreProperties>
</file>