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11"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920" w:type="dxa"/>
            <w:vAlign w:val="bottom"/>
            <w:gridSpan w:val="9"/>
          </w:tcPr>
          <w:p>
            <w:pPr>
              <w:ind w:left="10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tcPr>
          <w:p>
            <w:pPr>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gridSpan w:val="3"/>
          </w:tcPr>
          <w:p>
            <w:pPr>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7"/>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jc w:val="center"/>
              <w:ind w:righ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vMerge w:val="continue"/>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gridSpan w:val="2"/>
          </w:tcPr>
          <w:p>
            <w:pPr>
              <w:ind w:left="1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40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17"/>
                <w:szCs w:val="17"/>
                <w:color w:val="0000FF"/>
              </w:rPr>
              <w:t>03/30/2023</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1,800</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55"/>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29.5257</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922,034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40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17"/>
                <w:szCs w:val="17"/>
                <w:color w:val="0000FF"/>
              </w:rPr>
              <w:t>03/31/2023</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31"/>
              <w:spacing w:after="0"/>
              <w:rPr>
                <w:sz w:val="20"/>
                <w:szCs w:val="20"/>
                <w:color w:val="auto"/>
              </w:rPr>
            </w:pPr>
            <w:r>
              <w:rPr>
                <w:rFonts w:ascii="Times New Roman" w:cs="Times New Roman" w:eastAsia="Times New Roman" w:hAnsi="Times New Roman"/>
                <w:sz w:val="17"/>
                <w:szCs w:val="17"/>
                <w:color w:val="0000FF"/>
              </w:rPr>
              <w:t>30,889</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55"/>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29.5531</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891,145</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8,654</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effected pursuant to a Rule 10b5-1 trading plan adopted by the Reporting Person, entered into prior to the effectiveness of the revised requirements of Rule 10b5-1(c).</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$29.50 to $29.57,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$29.50 to $29.74,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04/03/2023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2023-04-03T15:19:42Z</dcterms:created>
  <dcterms:modified xsi:type="dcterms:W3CDTF">2023-04-03T15:19:42Z</dcterms:modified>
</cp:coreProperties>
</file>