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7"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64223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422390"/>
                    </a:xfrm>
                    <a:prstGeom prst="rect">
                      <a:avLst/>
                    </a:prstGeom>
                    <a:noFill/>
                  </pic:spPr>
                </pic:pic>
              </a:graphicData>
            </a:graphic>
          </wp:anchor>
        </w:drawing>
      </w:r>
    </w:p>
    <w:p>
      <w:pPr>
        <w:spacing w:after="0" w:line="101" w:lineRule="exact"/>
        <w:rPr>
          <w:sz w:val="24"/>
          <w:szCs w:val="24"/>
          <w:color w:val="auto"/>
        </w:rPr>
      </w:pPr>
    </w:p>
    <w:p>
      <w:pPr>
        <w:sectPr>
          <w:pgSz w:w="11900" w:h="16906"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Massaro Michael</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480"/>
        <w:spacing w:after="0" w:line="361" w:lineRule="auto"/>
        <w:rPr>
          <w:sz w:val="20"/>
          <w:szCs w:val="20"/>
          <w:color w:val="auto"/>
        </w:rPr>
      </w:pPr>
      <w:r>
        <w:rPr>
          <w:rFonts w:ascii="Arial" w:cs="Arial" w:eastAsia="Arial" w:hAnsi="Arial"/>
          <w:sz w:val="16"/>
          <w:szCs w:val="16"/>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Flywire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FLYW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12/20/2021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45"/>
        <w:spacing w:after="0"/>
        <w:rPr>
          <w:sz w:val="20"/>
          <w:szCs w:val="20"/>
          <w:color w:val="auto"/>
        </w:rPr>
      </w:pPr>
      <w:r>
        <w:rPr>
          <w:rFonts w:ascii="Arial" w:cs="Arial" w:eastAsia="Arial" w:hAnsi="Arial"/>
          <w:sz w:val="17"/>
          <w:szCs w:val="17"/>
          <w:color w:val="0000FF"/>
        </w:rPr>
        <w:t>Chief Executive Officer</w:t>
      </w:r>
    </w:p>
    <w:p>
      <w:pPr>
        <w:spacing w:after="0" w:line="425" w:lineRule="exact"/>
        <w:rPr>
          <w:sz w:val="24"/>
          <w:szCs w:val="24"/>
          <w:color w:val="auto"/>
        </w:rPr>
      </w:pPr>
    </w:p>
    <w:p>
      <w:pPr>
        <w:sectPr>
          <w:pgSz w:w="11900" w:h="16906" w:orient="portrait"/>
          <w:cols w:equalWidth="0" w:num="3">
            <w:col w:w="3200" w:space="720"/>
            <w:col w:w="3095" w:space="720"/>
            <w:col w:w="3345"/>
          </w:cols>
          <w:pgMar w:left="460" w:top="225" w:right="359" w:bottom="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7"/>
                <w:szCs w:val="17"/>
                <w:color w:val="0000FF"/>
              </w:rPr>
              <w:t>BOSTON</w:t>
            </w:r>
          </w:p>
        </w:tc>
        <w:tc>
          <w:tcPr>
            <w:tcW w:w="1080" w:type="dxa"/>
            <w:vAlign w:val="bottom"/>
          </w:tcPr>
          <w:p>
            <w:pPr>
              <w:ind w:left="260"/>
              <w:spacing w:after="0"/>
              <w:rPr>
                <w:sz w:val="20"/>
                <w:szCs w:val="20"/>
                <w:color w:val="auto"/>
              </w:rPr>
            </w:pPr>
            <w:r>
              <w:rPr>
                <w:rFonts w:ascii="Arial" w:cs="Arial" w:eastAsia="Arial" w:hAnsi="Arial"/>
                <w:sz w:val="17"/>
                <w:szCs w:val="17"/>
                <w:color w:val="0000FF"/>
              </w:rPr>
              <w:t>MA</w:t>
            </w:r>
          </w:p>
        </w:tc>
        <w:tc>
          <w:tcPr>
            <w:tcW w:w="1600" w:type="dxa"/>
            <w:vAlign w:val="bottom"/>
          </w:tcPr>
          <w:p>
            <w:pPr>
              <w:ind w:left="400"/>
              <w:spacing w:after="0"/>
              <w:rPr>
                <w:sz w:val="20"/>
                <w:szCs w:val="20"/>
                <w:color w:val="auto"/>
              </w:rPr>
            </w:pPr>
            <w:r>
              <w:rPr>
                <w:rFonts w:ascii="Arial" w:cs="Arial" w:eastAsia="Arial" w:hAnsi="Arial"/>
                <w:sz w:val="17"/>
                <w:szCs w:val="17"/>
                <w:color w:val="0000FF"/>
              </w:rPr>
              <w:t>02111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236" w:lineRule="auto"/>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65" w:lineRule="exact"/>
        <w:rPr>
          <w:sz w:val="24"/>
          <w:szCs w:val="24"/>
          <w:color w:val="auto"/>
        </w:rPr>
      </w:pPr>
    </w:p>
    <w:p>
      <w:pPr>
        <w:sectPr>
          <w:pgSz w:w="11900" w:h="16906" w:orient="portrait"/>
          <w:cols w:equalWidth="0" w:num="2">
            <w:col w:w="3760" w:space="160"/>
            <w:col w:w="716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26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3"/>
                <w:szCs w:val="13"/>
                <w:color w:val="auto"/>
              </w:rPr>
            </w:pPr>
          </w:p>
        </w:tc>
        <w:tc>
          <w:tcPr>
            <w:tcW w:w="20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260"/>
              <w:spacing w:after="0" w:line="131"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220"/>
              <w:spacing w:after="0" w:line="131"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jc w:val="center"/>
              <w:ind w:right="4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6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3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gridSpan w:val="2"/>
            <w:vMerge w:val="restart"/>
          </w:tcPr>
          <w:p>
            <w:pPr>
              <w:jc w:val="center"/>
              <w:ind w:right="70"/>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vMerge w:val="continue"/>
          </w:tcPr>
          <w:p>
            <w:pPr>
              <w:spacing w:after="0"/>
              <w:rPr>
                <w:sz w:val="10"/>
                <w:szCs w:val="10"/>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0"/>
                <w:szCs w:val="10"/>
                <w:color w:val="auto"/>
              </w:rPr>
            </w:pPr>
          </w:p>
        </w:tc>
        <w:tc>
          <w:tcPr>
            <w:tcW w:w="116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4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Voting Common Stock</w:t>
            </w:r>
          </w:p>
        </w:tc>
        <w:tc>
          <w:tcPr>
            <w:tcW w:w="116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0000FF"/>
              </w:rPr>
              <w:t>12/20/2021</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10,663</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10"/>
              <w:spacing w:after="0"/>
              <w:rPr>
                <w:sz w:val="20"/>
                <w:szCs w:val="20"/>
                <w:color w:val="auto"/>
              </w:rPr>
            </w:pPr>
            <w:r>
              <w:rPr>
                <w:rFonts w:ascii="Arial" w:cs="Arial" w:eastAsia="Arial" w:hAnsi="Arial"/>
                <w:sz w:val="17"/>
                <w:szCs w:val="17"/>
                <w:color w:val="0000FF"/>
                <w:w w:val="97"/>
              </w:rPr>
              <w:t>D</w:t>
            </w:r>
          </w:p>
        </w:tc>
        <w:tc>
          <w:tcPr>
            <w:tcW w:w="88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32.8673</w:t>
            </w:r>
            <w:r>
              <w:rPr>
                <w:rFonts w:ascii="Arial" w:cs="Arial" w:eastAsia="Arial" w:hAnsi="Arial"/>
                <w:sz w:val="22"/>
                <w:szCs w:val="22"/>
                <w:color w:val="008000"/>
                <w:w w:val="94"/>
                <w:vertAlign w:val="superscript"/>
              </w:rPr>
              <w:t>(2)</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1,016,427</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Voting Common Stock</w:t>
            </w:r>
          </w:p>
        </w:tc>
        <w:tc>
          <w:tcPr>
            <w:tcW w:w="116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0000FF"/>
              </w:rPr>
              <w:t>12/20/2021</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1,437</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10"/>
              <w:spacing w:after="0"/>
              <w:rPr>
                <w:sz w:val="20"/>
                <w:szCs w:val="20"/>
                <w:color w:val="auto"/>
              </w:rPr>
            </w:pPr>
            <w:r>
              <w:rPr>
                <w:rFonts w:ascii="Arial" w:cs="Arial" w:eastAsia="Arial" w:hAnsi="Arial"/>
                <w:sz w:val="17"/>
                <w:szCs w:val="17"/>
                <w:color w:val="0000FF"/>
                <w:w w:val="97"/>
              </w:rPr>
              <w:t>D</w:t>
            </w:r>
          </w:p>
        </w:tc>
        <w:tc>
          <w:tcPr>
            <w:tcW w:w="88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33.4718</w:t>
            </w:r>
            <w:r>
              <w:rPr>
                <w:rFonts w:ascii="Arial" w:cs="Arial" w:eastAsia="Arial" w:hAnsi="Arial"/>
                <w:sz w:val="22"/>
                <w:szCs w:val="22"/>
                <w:color w:val="008000"/>
                <w:w w:val="94"/>
                <w:vertAlign w:val="superscript"/>
              </w:rPr>
              <w:t>(3)</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1,014,990</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Voting Common Stock</w:t>
            </w:r>
          </w:p>
        </w:tc>
        <w:tc>
          <w:tcPr>
            <w:tcW w:w="116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0000FF"/>
              </w:rPr>
              <w:t>12/21/2021</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1,600</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10"/>
              <w:spacing w:after="0"/>
              <w:rPr>
                <w:sz w:val="20"/>
                <w:szCs w:val="20"/>
                <w:color w:val="auto"/>
              </w:rPr>
            </w:pPr>
            <w:r>
              <w:rPr>
                <w:rFonts w:ascii="Arial" w:cs="Arial" w:eastAsia="Arial" w:hAnsi="Arial"/>
                <w:sz w:val="17"/>
                <w:szCs w:val="17"/>
                <w:color w:val="0000FF"/>
                <w:w w:val="97"/>
              </w:rPr>
              <w:t>D</w:t>
            </w:r>
          </w:p>
        </w:tc>
        <w:tc>
          <w:tcPr>
            <w:tcW w:w="88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33.5311</w:t>
            </w:r>
            <w:r>
              <w:rPr>
                <w:rFonts w:ascii="Arial" w:cs="Arial" w:eastAsia="Arial" w:hAnsi="Arial"/>
                <w:sz w:val="22"/>
                <w:szCs w:val="22"/>
                <w:color w:val="008000"/>
                <w:w w:val="94"/>
                <w:vertAlign w:val="superscript"/>
              </w:rPr>
              <w:t>(4)</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1,013,390</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Voting Common Stock</w:t>
            </w:r>
          </w:p>
        </w:tc>
        <w:tc>
          <w:tcPr>
            <w:tcW w:w="116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0000FF"/>
              </w:rPr>
              <w:t>12/21/2021</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8,320</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10"/>
              <w:spacing w:after="0"/>
              <w:rPr>
                <w:sz w:val="20"/>
                <w:szCs w:val="20"/>
                <w:color w:val="auto"/>
              </w:rPr>
            </w:pPr>
            <w:r>
              <w:rPr>
                <w:rFonts w:ascii="Arial" w:cs="Arial" w:eastAsia="Arial" w:hAnsi="Arial"/>
                <w:sz w:val="17"/>
                <w:szCs w:val="17"/>
                <w:color w:val="0000FF"/>
                <w:w w:val="97"/>
              </w:rPr>
              <w:t>D</w:t>
            </w:r>
          </w:p>
        </w:tc>
        <w:tc>
          <w:tcPr>
            <w:tcW w:w="88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34.8731</w:t>
            </w:r>
            <w:r>
              <w:rPr>
                <w:rFonts w:ascii="Arial" w:cs="Arial" w:eastAsia="Arial" w:hAnsi="Arial"/>
                <w:sz w:val="22"/>
                <w:szCs w:val="22"/>
                <w:color w:val="008000"/>
                <w:w w:val="94"/>
                <w:vertAlign w:val="superscript"/>
              </w:rPr>
              <w:t>(5)</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1,005,070</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Voting Common Stock</w:t>
            </w:r>
          </w:p>
        </w:tc>
        <w:tc>
          <w:tcPr>
            <w:tcW w:w="116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0000FF"/>
              </w:rPr>
              <w:t>12/21/2021</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2,180</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10"/>
              <w:spacing w:after="0"/>
              <w:rPr>
                <w:sz w:val="20"/>
                <w:szCs w:val="20"/>
                <w:color w:val="auto"/>
              </w:rPr>
            </w:pPr>
            <w:r>
              <w:rPr>
                <w:rFonts w:ascii="Arial" w:cs="Arial" w:eastAsia="Arial" w:hAnsi="Arial"/>
                <w:sz w:val="17"/>
                <w:szCs w:val="17"/>
                <w:color w:val="0000FF"/>
                <w:w w:val="97"/>
              </w:rPr>
              <w:t>D</w:t>
            </w:r>
          </w:p>
        </w:tc>
        <w:tc>
          <w:tcPr>
            <w:tcW w:w="88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35.3277</w:t>
            </w:r>
            <w:r>
              <w:rPr>
                <w:rFonts w:ascii="Arial" w:cs="Arial" w:eastAsia="Arial" w:hAnsi="Arial"/>
                <w:sz w:val="22"/>
                <w:szCs w:val="22"/>
                <w:color w:val="008000"/>
                <w:w w:val="94"/>
                <w:vertAlign w:val="superscript"/>
              </w:rPr>
              <w:t>(6)</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1,002,890</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300,000</w:t>
            </w:r>
          </w:p>
        </w:tc>
        <w:tc>
          <w:tcPr>
            <w:tcW w:w="340" w:type="dxa"/>
            <w:vAlign w:val="bottom"/>
          </w:tcPr>
          <w:p>
            <w:pPr>
              <w:spacing w:after="0"/>
              <w:rPr>
                <w:sz w:val="22"/>
                <w:szCs w:val="22"/>
                <w:color w:val="auto"/>
              </w:rPr>
            </w:pPr>
          </w:p>
        </w:tc>
        <w:tc>
          <w:tcPr>
            <w:tcW w:w="58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4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(7)</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120,000</w:t>
            </w:r>
          </w:p>
        </w:tc>
        <w:tc>
          <w:tcPr>
            <w:tcW w:w="340" w:type="dxa"/>
            <w:vAlign w:val="bottom"/>
          </w:tcPr>
          <w:p>
            <w:pPr>
              <w:spacing w:after="0"/>
              <w:rPr>
                <w:sz w:val="22"/>
                <w:szCs w:val="22"/>
                <w:color w:val="auto"/>
              </w:rPr>
            </w:pPr>
          </w:p>
        </w:tc>
        <w:tc>
          <w:tcPr>
            <w:tcW w:w="58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4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GRAT</w:t>
            </w:r>
            <w:r>
              <w:rPr>
                <w:rFonts w:ascii="Arial" w:cs="Arial" w:eastAsia="Arial" w:hAnsi="Arial"/>
                <w:sz w:val="22"/>
                <w:szCs w:val="22"/>
                <w:color w:val="008000"/>
                <w:vertAlign w:val="superscript"/>
              </w:rPr>
              <w:t>(8)</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6"/>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2"/>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6. Date Exercisable and</w:t>
            </w:r>
          </w:p>
        </w:tc>
        <w:tc>
          <w:tcPr>
            <w:tcW w:w="80" w:type="dxa"/>
            <w:vAlign w:val="bottom"/>
          </w:tcPr>
          <w:p>
            <w:pPr>
              <w:spacing w:after="0"/>
              <w:rPr>
                <w:sz w:val="14"/>
                <w:szCs w:val="14"/>
                <w:color w:val="auto"/>
              </w:rPr>
            </w:pP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92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w w:val="98"/>
              </w:rPr>
              <w:t>Expiration</w:t>
            </w:r>
          </w:p>
        </w:tc>
        <w:tc>
          <w:tcPr>
            <w:tcW w:w="38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80" w:type="dxa"/>
            <w:vAlign w:val="bottom"/>
          </w:tcPr>
          <w:p>
            <w:pPr>
              <w:spacing w:after="0"/>
              <w:rPr>
                <w:sz w:val="13"/>
                <w:szCs w:val="13"/>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were sold pursuant to a Rule 10b5-1 trading plan.</w:t>
      </w:r>
    </w:p>
    <w:p>
      <w:pPr>
        <w:spacing w:after="0" w:line="50" w:lineRule="exact"/>
        <w:rPr>
          <w:rFonts w:ascii="Arial" w:cs="Arial" w:eastAsia="Arial" w:hAnsi="Arial"/>
          <w:sz w:val="13"/>
          <w:szCs w:val="13"/>
          <w:color w:val="008000"/>
        </w:rPr>
      </w:pPr>
    </w:p>
    <w:p>
      <w:pPr>
        <w:ind w:left="40" w:right="4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$32.34 to $33.32, inclusive. The Reporting Person undertakes to provide to the Issuer, any security holder of the Issuer or the staff of the Securities Exchange Commission, upon request, full information regarding the number of securities purchased at each separate price within the ranges set forth in this footnote (2) to this Form 4.</w:t>
      </w:r>
    </w:p>
    <w:p>
      <w:pPr>
        <w:spacing w:after="0" w:line="25" w:lineRule="exact"/>
        <w:rPr>
          <w:rFonts w:ascii="Arial" w:cs="Arial" w:eastAsia="Arial" w:hAnsi="Arial"/>
          <w:sz w:val="13"/>
          <w:szCs w:val="13"/>
          <w:color w:val="008000"/>
        </w:rPr>
      </w:pPr>
    </w:p>
    <w:p>
      <w:pPr>
        <w:jc w:val="both"/>
        <w:ind w:left="40" w:right="4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$33.39 to $33.545, inclusive. The Reporting Person undertakes to provide to the Issuer, any security holder of the Issuer or the staff of the Securities Exchange Commission, upon request, full information regarding the number of securities purchased at each separate price within the ranges set forth in this footnote (3) to this Form 4.</w:t>
      </w:r>
    </w:p>
    <w:p>
      <w:pPr>
        <w:spacing w:after="0" w:line="25" w:lineRule="exact"/>
        <w:rPr>
          <w:rFonts w:ascii="Arial" w:cs="Arial" w:eastAsia="Arial" w:hAnsi="Arial"/>
          <w:sz w:val="13"/>
          <w:szCs w:val="13"/>
          <w:color w:val="008000"/>
        </w:rPr>
      </w:pPr>
    </w:p>
    <w:p>
      <w:pPr>
        <w:ind w:left="40" w:right="4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$33.14 to $34.08, inclusive. The Reporting Person undertakes to provide to the Issuer, any security holder of the Issuer or the staff of the Securities Exchange Commission, upon request, full information regarding the number of securities purchased at each separate price within the ranges set forth in this footnote (4) to this Form 4.</w:t>
      </w:r>
    </w:p>
    <w:p>
      <w:pPr>
        <w:spacing w:after="0" w:line="25" w:lineRule="exact"/>
        <w:rPr>
          <w:rFonts w:ascii="Arial" w:cs="Arial" w:eastAsia="Arial" w:hAnsi="Arial"/>
          <w:sz w:val="13"/>
          <w:szCs w:val="13"/>
          <w:color w:val="008000"/>
        </w:rPr>
      </w:pPr>
    </w:p>
    <w:p>
      <w:pPr>
        <w:jc w:val="both"/>
        <w:ind w:left="40" w:right="4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$34.23 to $35.225, inclusive. The Reporting Person undertakes to provide to the Issuer, any security holder of the Issuer or the staff of the Securities Exchange Commission, upon request, full information regarding the number of securities purchased at each separate price within the ranges set forth in this footnote (5) to this Form 4.</w:t>
      </w:r>
    </w:p>
    <w:p>
      <w:pPr>
        <w:spacing w:after="0" w:line="25" w:lineRule="exact"/>
        <w:rPr>
          <w:rFonts w:ascii="Arial" w:cs="Arial" w:eastAsia="Arial" w:hAnsi="Arial"/>
          <w:sz w:val="13"/>
          <w:szCs w:val="13"/>
          <w:color w:val="008000"/>
        </w:rPr>
      </w:pPr>
    </w:p>
    <w:p>
      <w:pPr>
        <w:ind w:left="40" w:right="4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$35.23 to $35.47, inclusive. The Reporting Person undertakes to provide to the Issuer, any security holder of the Issuer or the staff of the Securities Exchange Commission, upon request, full information regarding the number of securities purchased at each separate price within the ranges set forth in this footnote (6) to this Form 4.</w:t>
      </w:r>
    </w:p>
    <w:p>
      <w:pPr>
        <w:spacing w:after="0" w:line="25" w:lineRule="exact"/>
        <w:rPr>
          <w:rFonts w:ascii="Arial" w:cs="Arial" w:eastAsia="Arial" w:hAnsi="Arial"/>
          <w:sz w:val="13"/>
          <w:szCs w:val="13"/>
          <w:color w:val="008000"/>
        </w:rPr>
      </w:pPr>
    </w:p>
    <w:p>
      <w:pPr>
        <w:jc w:val="both"/>
        <w:ind w:left="40" w:right="2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by the Michael P. Massaro 2021 Irrevocable Trust, of which the Reporting Person's spouse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25" w:lineRule="exact"/>
        <w:rPr>
          <w:rFonts w:ascii="Arial" w:cs="Arial" w:eastAsia="Arial" w:hAnsi="Arial"/>
          <w:sz w:val="13"/>
          <w:szCs w:val="13"/>
          <w:color w:val="008000"/>
        </w:rPr>
      </w:pPr>
    </w:p>
    <w:p>
      <w:pPr>
        <w:ind w:left="40" w:right="2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by the Michael P. Massaro 2021 Qualified Annuity Trust,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2"/>
              </w:rPr>
              <w:t>/s/ Michael Massaro</w:t>
            </w:r>
          </w:p>
        </w:tc>
        <w:tc>
          <w:tcPr>
            <w:tcW w:w="78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0000FF"/>
                <w:w w:val="91"/>
              </w:rPr>
              <w:t>12/22/2021</w:t>
            </w:r>
          </w:p>
        </w:tc>
      </w:tr>
    </w:tbl>
    <w:p>
      <w:pPr>
        <w:spacing w:after="0" w:line="79" w:lineRule="exact"/>
        <w:rPr>
          <w:sz w:val="24"/>
          <w:szCs w:val="24"/>
          <w:color w:val="auto"/>
        </w:rPr>
      </w:pPr>
    </w:p>
    <w:p>
      <w:pPr>
        <w:sectPr>
          <w:pgSz w:w="11900" w:h="16906" w:orient="portrait"/>
          <w:cols w:equalWidth="0" w:num="1">
            <w:col w:w="11080"/>
          </w:cols>
          <w:pgMar w:left="460" w:top="225" w:right="359" w:bottom="0" w:gutter="0" w:footer="0" w:header="0"/>
          <w:type w:val="continuous"/>
        </w:sect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ectPr>
          <w:pgSz w:w="11900" w:h="16906" w:orient="portrait"/>
          <w:cols w:equalWidth="0" w:num="1">
            <w:col w:w="11080"/>
          </w:cols>
          <w:pgMar w:left="460" w:top="225"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79"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130"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2021-12-22T16:39:12Z</dcterms:created>
  <dcterms:modified xsi:type="dcterms:W3CDTF">2021-12-22T16:39:12Z</dcterms:modified>
</cp:coreProperties>
</file>